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D86312">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D86312">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D86312">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D86312">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D86312">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D86312">
        <w:fldChar w:fldCharType="begin"/>
      </w:r>
      <w:r w:rsidR="00D86312">
        <w:instrText xml:space="preserve"> FORMTEXT </w:instrText>
      </w:r>
      <w:r w:rsidR="00D86312">
        <w:fldChar w:fldCharType="separate"/>
      </w:r>
      <w:r w:rsidR="00D86312">
        <w:fldChar w:fldCharType="end"/>
      </w:r>
      <w:r w:rsidR="00D86312">
        <w:fldChar w:fldCharType="begin"/>
      </w:r>
      <w:r w:rsidR="00D86312">
        <w:instrText xml:space="preserve"> FORMTEXT </w:instrText>
      </w:r>
      <w:r w:rsidR="00D86312">
        <w:fldChar w:fldCharType="separate"/>
      </w:r>
      <w:r w:rsidR="00D86312">
        <w:fldChar w:fldCharType="end"/>
      </w:r>
      <w:r w:rsidR="00D86312">
        <w:fldChar w:fldCharType="begin"/>
      </w:r>
      <w:r w:rsidR="00D86312">
        <w:instrText xml:space="preserve"> FORMTEXT </w:instrText>
      </w:r>
      <w:r w:rsidR="00D86312">
        <w:fldChar w:fldCharType="separate"/>
      </w:r>
      <w:r w:rsidR="00D86312">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D86312">
        <w:fldChar w:fldCharType="begin"/>
      </w:r>
      <w:r w:rsidR="00D86312">
        <w:instrText xml:space="preserve"> FORMTEXT </w:instrText>
      </w:r>
      <w:r w:rsidR="00D86312">
        <w:fldChar w:fldCharType="separate"/>
      </w:r>
      <w:r w:rsidR="00D86312">
        <w:fldChar w:fldCharType="end"/>
      </w:r>
      <w:r w:rsidR="00D86312">
        <w:fldChar w:fldCharType="begin"/>
      </w:r>
      <w:r w:rsidR="00D86312">
        <w:instrText xml:space="preserve"> FORMTEXT </w:instrText>
      </w:r>
      <w:r w:rsidR="00D86312">
        <w:fldChar w:fldCharType="separate"/>
      </w:r>
      <w:r w:rsidR="00D86312">
        <w:fldChar w:fldCharType="end"/>
      </w:r>
      <w:r w:rsidRPr="00656752">
        <w:t xml:space="preserve"> day of </w:t>
      </w:r>
      <w:r w:rsidR="00D86312">
        <w:fldChar w:fldCharType="begin"/>
      </w:r>
      <w:r w:rsidR="00D86312">
        <w:instrText xml:space="preserve"> FORMTEXT </w:instrText>
      </w:r>
      <w:r w:rsidR="00D86312">
        <w:fldChar w:fldCharType="separate"/>
      </w:r>
      <w:r w:rsidR="00D86312">
        <w:fldChar w:fldCharType="end"/>
      </w:r>
      <w:r w:rsidR="00D86312">
        <w:fldChar w:fldCharType="begin"/>
      </w:r>
      <w:r w:rsidR="00D86312">
        <w:instrText xml:space="preserve"> FORMTEXT </w:instrText>
      </w:r>
      <w:r w:rsidR="00D86312">
        <w:fldChar w:fldCharType="separate"/>
      </w:r>
      <w:r w:rsidR="00D86312">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D86312">
        <w:fldChar w:fldCharType="begin"/>
      </w:r>
      <w:r w:rsidR="00D86312">
        <w:instrText xml:space="preserve"> FORMTEXT </w:instrText>
      </w:r>
      <w:r w:rsidR="00D86312">
        <w:fldChar w:fldCharType="separate"/>
      </w:r>
      <w:r w:rsidR="00D86312">
        <w:fldChar w:fldCharType="end"/>
      </w:r>
      <w:r w:rsidR="00D86312">
        <w:fldChar w:fldCharType="begin"/>
      </w:r>
      <w:r w:rsidR="00D86312">
        <w:instrText xml:space="preserve"> FORMTEXT </w:instrText>
      </w:r>
      <w:r w:rsidR="00D86312">
        <w:fldChar w:fldCharType="separate"/>
      </w:r>
      <w:r w:rsidR="00D86312">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A7761D" w:rsidP="00A7761D">
            <w:pPr>
              <w:pStyle w:val="Body"/>
            </w:pPr>
            <w:r>
              <w:rPr>
                <w:b/>
              </w:rPr>
              <w:t>Lot C3</w:t>
            </w:r>
            <w:r w:rsidR="0067690D" w:rsidRPr="0067690D">
              <w:rPr>
                <w:b/>
              </w:rPr>
              <w:t xml:space="preserve"> (</w:t>
            </w:r>
            <w:r w:rsidR="0067690D" w:rsidRPr="0067690D">
              <w:rPr>
                <w:b/>
                <w:highlight w:val="yellow"/>
              </w:rPr>
              <w:t>West/East</w:t>
            </w:r>
            <w:r w:rsidR="0067690D" w:rsidRPr="0067690D">
              <w:rPr>
                <w:b/>
              </w:rPr>
              <w:t>)</w:t>
            </w:r>
            <w:r w:rsidR="0067690D">
              <w:t xml:space="preserve"> – </w:t>
            </w:r>
            <w:r w:rsidR="00021911">
              <w:t>Building Surveying</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24"/>
      </w:tblGrid>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724"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724"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00D86312">
              <w:t xml:space="preserve"> (Clause 13.2.3)</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724" w:type="dxa"/>
            <w:shd w:val="clear" w:color="auto" w:fill="auto"/>
          </w:tcPr>
          <w:p w:rsidR="00320F8B" w:rsidRPr="00656752" w:rsidRDefault="00320F8B" w:rsidP="003D4419">
            <w:pPr>
              <w:pStyle w:val="Body"/>
            </w:pPr>
            <w:r w:rsidRPr="00656752">
              <w:t>The Fee Payment Schedule is as follows:</w:t>
            </w:r>
          </w:p>
          <w:tbl>
            <w:tblPr>
              <w:tblW w:w="14060" w:type="dxa"/>
              <w:tblLayout w:type="fixed"/>
              <w:tblLook w:val="04A0" w:firstRow="1" w:lastRow="0" w:firstColumn="1" w:lastColumn="0" w:noHBand="0" w:noVBand="1"/>
            </w:tblPr>
            <w:tblGrid>
              <w:gridCol w:w="14060"/>
            </w:tblGrid>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pStyle w:val="ListParagraph"/>
                    <w:numPr>
                      <w:ilvl w:val="0"/>
                      <w:numId w:val="22"/>
                    </w:numPr>
                    <w:adjustRightInd/>
                    <w:spacing w:line="240" w:lineRule="auto"/>
                    <w:rPr>
                      <w:rFonts w:ascii="Calibri" w:eastAsia="Times New Roman" w:hAnsi="Calibri" w:cs="Times New Roman"/>
                      <w:color w:val="000000"/>
                      <w:sz w:val="20"/>
                      <w:szCs w:val="20"/>
                    </w:rPr>
                  </w:pPr>
                  <w:r w:rsidRPr="00A7761D">
                    <w:rPr>
                      <w:rFonts w:ascii="Calibri" w:eastAsia="Times New Roman" w:hAnsi="Calibri" w:cs="Times New Roman"/>
                      <w:color w:val="000000"/>
                      <w:sz w:val="20"/>
                      <w:szCs w:val="20"/>
                    </w:rPr>
                    <w:t>25% upon achieving of planning permission</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adjustRightInd/>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ii.             </w:t>
                  </w:r>
                  <w:r w:rsidRPr="00A7761D">
                    <w:rPr>
                      <w:rFonts w:ascii="Calibri" w:eastAsia="Times New Roman" w:hAnsi="Calibri" w:cs="Times New Roman"/>
                      <w:color w:val="000000"/>
                      <w:sz w:val="20"/>
                      <w:szCs w:val="20"/>
                    </w:rPr>
                    <w:t>20% tender acceptance</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021911" w:rsidRDefault="00A7761D" w:rsidP="00A7761D">
                  <w:pPr>
                    <w:pStyle w:val="ListParagraph"/>
                    <w:numPr>
                      <w:ilvl w:val="0"/>
                      <w:numId w:val="22"/>
                    </w:numPr>
                    <w:adjustRightInd/>
                    <w:spacing w:line="240" w:lineRule="auto"/>
                    <w:rPr>
                      <w:rFonts w:ascii="Calibri" w:eastAsia="Times New Roman" w:hAnsi="Calibri" w:cs="Times New Roman"/>
                      <w:color w:val="000000"/>
                      <w:sz w:val="20"/>
                      <w:szCs w:val="20"/>
                    </w:rPr>
                  </w:pPr>
                  <w:r w:rsidRPr="00A7761D">
                    <w:rPr>
                      <w:rFonts w:ascii="Calibri" w:eastAsia="Times New Roman" w:hAnsi="Calibri" w:cs="Times New Roman"/>
                      <w:color w:val="000000"/>
                      <w:sz w:val="20"/>
                      <w:szCs w:val="20"/>
                    </w:rPr>
                    <w:t>45% payable in quarterly instalments throughout the contract</w:t>
                  </w:r>
                </w:p>
                <w:p w:rsidR="00A7761D" w:rsidRPr="00A7761D" w:rsidRDefault="00A7761D" w:rsidP="00021911">
                  <w:pPr>
                    <w:pStyle w:val="ListParagraph"/>
                    <w:adjustRightInd/>
                    <w:spacing w:line="240" w:lineRule="auto"/>
                    <w:ind w:left="1125"/>
                    <w:rPr>
                      <w:rFonts w:ascii="Calibri" w:eastAsia="Times New Roman" w:hAnsi="Calibri" w:cs="Times New Roman"/>
                      <w:color w:val="000000"/>
                      <w:sz w:val="20"/>
                      <w:szCs w:val="20"/>
                    </w:rPr>
                  </w:pPr>
                  <w:r w:rsidRPr="00A7761D">
                    <w:rPr>
                      <w:rFonts w:ascii="Calibri" w:eastAsia="Times New Roman" w:hAnsi="Calibri" w:cs="Times New Roman"/>
                      <w:color w:val="000000"/>
                      <w:sz w:val="20"/>
                      <w:szCs w:val="20"/>
                    </w:rPr>
                    <w:t xml:space="preserve"> period</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adjustRightInd/>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iiii.           </w:t>
                  </w:r>
                  <w:r w:rsidRPr="00A7761D">
                    <w:rPr>
                      <w:rFonts w:ascii="Calibri" w:eastAsia="Times New Roman" w:hAnsi="Calibri" w:cs="Times New Roman"/>
                      <w:color w:val="000000"/>
                      <w:sz w:val="20"/>
                      <w:szCs w:val="20"/>
                    </w:rPr>
                    <w:t xml:space="preserve">10% on agreement of Final Account </w:t>
                  </w:r>
                </w:p>
              </w:tc>
            </w:tr>
          </w:tbl>
          <w:p w:rsidR="00320F8B" w:rsidRPr="00656752" w:rsidRDefault="00DE24CE" w:rsidP="00DE24CE">
            <w:pPr>
              <w:pStyle w:val="Body"/>
            </w:pPr>
            <w:r>
              <w:tab/>
            </w:r>
            <w:r>
              <w:tab/>
            </w:r>
            <w:r>
              <w:tab/>
            </w:r>
            <w:r>
              <w:tab/>
            </w:r>
            <w:r>
              <w:tab/>
            </w:r>
            <w:r>
              <w:tab/>
            </w:r>
            <w:r>
              <w:tab/>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724" w:type="dxa"/>
            <w:shd w:val="clear" w:color="auto" w:fill="auto"/>
          </w:tcPr>
          <w:p w:rsidR="00320F8B" w:rsidRPr="00656752" w:rsidRDefault="00320F8B" w:rsidP="00800226">
            <w:pPr>
              <w:pStyle w:val="Body"/>
            </w:pPr>
            <w:r w:rsidRPr="00656752">
              <w:t xml:space="preserve">Reimbursable expenses etc. </w:t>
            </w:r>
            <w:r w:rsidR="00D86312">
              <w:t>(Clause 12.2)</w:t>
            </w:r>
            <w:r w:rsidRPr="00656752">
              <w:t xml:space="preserve"> </w:t>
            </w:r>
            <w:r w:rsidR="00800226">
              <w:t>are included in the fee above.</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724"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724" w:type="dxa"/>
            <w:shd w:val="clear" w:color="auto" w:fill="auto"/>
          </w:tcPr>
          <w:p w:rsidR="00320F8B" w:rsidRPr="00034455" w:rsidRDefault="00320F8B" w:rsidP="003D4419">
            <w:pPr>
              <w:pStyle w:val="Body"/>
            </w:pPr>
            <w:r w:rsidRPr="00034455">
              <w:t>The person referred to in Clau</w:t>
            </w:r>
            <w:r w:rsidR="00D86312">
              <w:t>se 9.1 i</w:t>
            </w:r>
            <w:r w:rsidRPr="00034455">
              <w:t>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724" w:type="dxa"/>
            <w:shd w:val="clear" w:color="auto" w:fill="auto"/>
          </w:tcPr>
          <w:p w:rsidR="00320F8B" w:rsidRPr="00034455" w:rsidRDefault="00320F8B" w:rsidP="003D4419">
            <w:pPr>
              <w:pStyle w:val="Body"/>
            </w:pPr>
            <w:r w:rsidRPr="00656752">
              <w:t>The key person(s) referred to in Claus</w:t>
            </w:r>
            <w:r w:rsidR="00D86312">
              <w:t xml:space="preserve">e 9.2 </w:t>
            </w:r>
            <w:r w:rsidRPr="00656752">
              <w:t>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lastRenderedPageBreak/>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Copy documentation:</w:t>
            </w:r>
          </w:p>
        </w:tc>
        <w:tc>
          <w:tcPr>
            <w:tcW w:w="6724"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724"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724"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724"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Materials:</w:t>
            </w:r>
          </w:p>
        </w:tc>
        <w:tc>
          <w:tcPr>
            <w:tcW w:w="6724"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lastRenderedPageBreak/>
              <w:t xml:space="preserve">[ </w:t>
            </w:r>
            <w:r w:rsidR="003D4419" w:rsidRPr="003D4419">
              <w:rPr>
                <w:highlight w:val="yellow"/>
              </w:rPr>
              <w:t>Insert any prohibited materials  or NA</w:t>
            </w:r>
            <w:r w:rsidR="003D4419">
              <w:t>]</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Preliminary Appointment Details:</w:t>
            </w:r>
          </w:p>
        </w:tc>
        <w:tc>
          <w:tcPr>
            <w:tcW w:w="6724"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724" w:type="dxa"/>
            <w:shd w:val="clear" w:color="auto" w:fill="auto"/>
          </w:tcPr>
          <w:p w:rsidR="00320F8B" w:rsidRPr="00656752" w:rsidRDefault="00320F8B" w:rsidP="003D4419">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w:t>
            </w:r>
            <w:bookmarkStart w:id="8" w:name="_9kMHG5YVt5658EECEffvEM4AFxj3GFK404kwCVd"/>
            <w:bookmarkEnd w:id="8"/>
            <w:r w:rsidR="00D86312">
              <w:rPr>
                <w:rStyle w:val="NoHeading1Text"/>
              </w:rPr>
              <w:t>e 22)</w:t>
            </w:r>
            <w:bookmarkStart w:id="9" w:name="_GoBack"/>
            <w:bookmarkEnd w:id="9"/>
            <w:r w:rsidR="00D86312">
              <w:rPr>
                <w:rStyle w:val="NoHeading1Text"/>
              </w:rPr>
              <w:t xml:space="preserve"> a</w:t>
            </w:r>
            <w:r w:rsidRPr="00656752">
              <w:rPr>
                <w:rStyle w:val="NoHeading1Text"/>
              </w:rPr>
              <w:t>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A7761D" w:rsidRDefault="00A7761D" w:rsidP="00A7761D">
      <w:pPr>
        <w:pStyle w:val="Body"/>
        <w:keepNext/>
        <w:jc w:val="center"/>
        <w:outlineLvl w:val="0"/>
        <w:rPr>
          <w:b/>
          <w:bCs/>
        </w:rPr>
      </w:pPr>
      <w:bookmarkStart w:id="11" w:name="_Hlt149129259"/>
      <w:r>
        <w:rPr>
          <w:b/>
          <w:bCs/>
          <w:noProof/>
        </w:rPr>
        <w:lastRenderedPageBreak/>
        <w:drawing>
          <wp:inline distT="0" distB="0" distL="0" distR="0">
            <wp:extent cx="1443355" cy="1443355"/>
            <wp:effectExtent l="0" t="0" r="4445" b="0"/>
            <wp:docPr id="8" name="Picture 8" descr="New I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C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inline>
        </w:drawing>
      </w:r>
    </w:p>
    <w:bookmarkEnd w:id="11"/>
    <w:p w:rsidR="00A7761D" w:rsidRPr="000414B4" w:rsidRDefault="00A7761D" w:rsidP="00A7761D">
      <w:pPr>
        <w:adjustRightInd/>
        <w:spacing w:line="240" w:lineRule="auto"/>
        <w:contextualSpacing/>
        <w:jc w:val="center"/>
        <w:rPr>
          <w:rFonts w:ascii="Calibri" w:eastAsia="MS Mincho" w:hAnsi="Calibri"/>
          <w:b/>
          <w:sz w:val="24"/>
          <w:szCs w:val="24"/>
          <w:u w:val="single"/>
          <w:lang w:eastAsia="ja-JP"/>
        </w:rPr>
      </w:pPr>
      <w:r w:rsidRPr="000414B4">
        <w:rPr>
          <w:rFonts w:ascii="Calibri" w:eastAsia="MS Mincho" w:hAnsi="Calibri"/>
          <w:b/>
          <w:sz w:val="24"/>
          <w:szCs w:val="24"/>
          <w:u w:val="single"/>
          <w:lang w:eastAsia="ja-JP"/>
        </w:rPr>
        <w:t xml:space="preserve">SERVICE BRIEF – </w:t>
      </w:r>
      <w:r>
        <w:rPr>
          <w:rFonts w:ascii="Calibri" w:eastAsia="MS Mincho" w:hAnsi="Calibri"/>
          <w:b/>
          <w:sz w:val="24"/>
          <w:szCs w:val="24"/>
          <w:u w:val="single"/>
          <w:lang w:eastAsia="ja-JP"/>
        </w:rPr>
        <w:t xml:space="preserve">LOT C3 </w:t>
      </w:r>
      <w:r w:rsidRPr="000414B4">
        <w:rPr>
          <w:rFonts w:ascii="Calibri" w:eastAsia="MS Mincho" w:hAnsi="Calibri"/>
          <w:b/>
          <w:sz w:val="24"/>
          <w:szCs w:val="24"/>
          <w:u w:val="single"/>
          <w:lang w:eastAsia="ja-JP"/>
        </w:rPr>
        <w:t>BUILDING SURVEYING SERVICES</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MS Mincho" w:hAnsi="Calibri"/>
          <w:sz w:val="24"/>
          <w:szCs w:val="24"/>
          <w:lang w:eastAsia="ja-JP"/>
        </w:rPr>
      </w:pPr>
      <w:r w:rsidRPr="000414B4">
        <w:rPr>
          <w:rFonts w:ascii="Calibri" w:eastAsia="MS Mincho" w:hAnsi="Calibri"/>
          <w:sz w:val="24"/>
          <w:szCs w:val="24"/>
          <w:lang w:eastAsia="ja-JP"/>
        </w:rPr>
        <w:t>The following service brief is based on the RICS standard for Building Surveyor Services.</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MS Mincho" w:hAnsi="Calibri"/>
          <w:sz w:val="24"/>
          <w:szCs w:val="24"/>
          <w:lang w:eastAsia="ja-JP"/>
        </w:rPr>
      </w:pPr>
      <w:r w:rsidRPr="000414B4">
        <w:rPr>
          <w:rFonts w:ascii="Calibri" w:eastAsia="MS Mincho" w:hAnsi="Calibri"/>
          <w:sz w:val="24"/>
          <w:szCs w:val="24"/>
          <w:lang w:eastAsia="ja-JP"/>
        </w:rPr>
        <w:t>Please note that the Client requires a one-stop service and where the RICS brief refers to the professional team the framework consultant will be expected to coordinate a comprehensive service which embraces measured and dilapidation surveys, design, cost consultancy,  Principal Designer, Health and Safety Advisor, Party Wall Surveyor (where applicable) and SAP calculations together with all contract administration.</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Calibri" w:hAnsi="Calibri"/>
          <w:sz w:val="24"/>
          <w:szCs w:val="24"/>
          <w:lang w:eastAsia="en-US"/>
        </w:rPr>
      </w:pPr>
      <w:r w:rsidRPr="000414B4">
        <w:rPr>
          <w:rFonts w:ascii="Calibri" w:eastAsia="Calibri" w:hAnsi="Calibri"/>
          <w:sz w:val="24"/>
          <w:szCs w:val="24"/>
          <w:lang w:eastAsia="en-US"/>
        </w:rPr>
        <w:t>The appointed practice shall demonstrate reasonable skill and care as is expected of a person deemed competent to undertake the role.</w:t>
      </w:r>
    </w:p>
    <w:p w:rsidR="00A7761D" w:rsidRPr="000414B4" w:rsidRDefault="00A7761D" w:rsidP="00A7761D">
      <w:pPr>
        <w:adjustRightInd/>
        <w:spacing w:line="240" w:lineRule="auto"/>
        <w:jc w:val="both"/>
        <w:rPr>
          <w:rFonts w:ascii="Calibri" w:eastAsia="Times New Roman" w:hAnsi="Calibri"/>
          <w:sz w:val="24"/>
          <w:szCs w:val="24"/>
        </w:rPr>
      </w:pPr>
    </w:p>
    <w:p w:rsidR="00A7761D" w:rsidRPr="000414B4" w:rsidRDefault="00A7761D" w:rsidP="00A7761D">
      <w:pPr>
        <w:adjustRightInd/>
        <w:spacing w:line="240" w:lineRule="auto"/>
        <w:jc w:val="both"/>
        <w:rPr>
          <w:rFonts w:ascii="Calibri" w:eastAsia="Times New Roman" w:hAnsi="Calibri"/>
          <w:sz w:val="24"/>
          <w:szCs w:val="24"/>
        </w:rPr>
      </w:pPr>
      <w:r>
        <w:rPr>
          <w:rFonts w:ascii="Calibri" w:eastAsia="Times New Roman" w:hAnsi="Calibri"/>
          <w:sz w:val="24"/>
          <w:szCs w:val="24"/>
        </w:rPr>
        <w:t>ICN</w:t>
      </w:r>
      <w:r w:rsidRPr="000414B4">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0414B4">
        <w:rPr>
          <w:rFonts w:ascii="Calibri" w:eastAsia="Times New Roman" w:hAnsi="Calibri"/>
          <w:sz w:val="24"/>
          <w:szCs w:val="24"/>
        </w:rPr>
        <w:t xml:space="preserve"> member. </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numPr>
          <w:ilvl w:val="0"/>
          <w:numId w:val="23"/>
        </w:numPr>
        <w:adjustRightInd/>
        <w:spacing w:after="200" w:line="240" w:lineRule="auto"/>
        <w:ind w:left="567" w:hanging="567"/>
        <w:contextualSpacing/>
        <w:jc w:val="both"/>
        <w:rPr>
          <w:rFonts w:ascii="Calibri" w:eastAsia="MS Mincho" w:hAnsi="Calibri"/>
          <w:b/>
          <w:sz w:val="24"/>
          <w:szCs w:val="24"/>
          <w:u w:val="single"/>
          <w:lang w:eastAsia="ja-JP"/>
        </w:rPr>
      </w:pPr>
      <w:r w:rsidRPr="000414B4">
        <w:rPr>
          <w:rFonts w:ascii="Calibri" w:eastAsia="MS Mincho" w:hAnsi="Calibri"/>
          <w:b/>
          <w:sz w:val="24"/>
          <w:szCs w:val="24"/>
          <w:u w:val="single"/>
          <w:lang w:eastAsia="ja-JP"/>
        </w:rPr>
        <w:t>CORE SERVICES (CONSTRUCTION)</w:t>
      </w:r>
    </w:p>
    <w:p w:rsidR="00A7761D" w:rsidRPr="000414B4" w:rsidRDefault="00A7761D" w:rsidP="00A7761D">
      <w:pPr>
        <w:adjustRightInd/>
        <w:spacing w:line="240" w:lineRule="auto"/>
        <w:ind w:left="720"/>
        <w:contextualSpacing/>
        <w:jc w:val="both"/>
        <w:rPr>
          <w:rFonts w:ascii="Calibri" w:eastAsia="MS Mincho" w:hAnsi="Calibri"/>
          <w:b/>
          <w:sz w:val="24"/>
          <w:szCs w:val="24"/>
          <w:u w:val="single"/>
          <w:lang w:eastAsia="ja-JP"/>
        </w:rPr>
      </w:pPr>
    </w:p>
    <w:p w:rsidR="00A7761D" w:rsidRPr="00F37498" w:rsidRDefault="00A7761D" w:rsidP="00A7761D">
      <w:pPr>
        <w:adjustRightInd/>
        <w:spacing w:line="240" w:lineRule="auto"/>
        <w:ind w:left="567" w:hanging="567"/>
        <w:jc w:val="both"/>
        <w:rPr>
          <w:rFonts w:ascii="Calibri" w:eastAsia="MS Mincho" w:hAnsi="Calibri"/>
          <w:b/>
          <w:sz w:val="24"/>
          <w:szCs w:val="24"/>
          <w:lang w:eastAsia="ja-JP"/>
        </w:rPr>
      </w:pPr>
      <w:r w:rsidRPr="00F37498">
        <w:rPr>
          <w:rFonts w:ascii="Calibri" w:eastAsia="MS Mincho" w:hAnsi="Calibri"/>
          <w:b/>
          <w:sz w:val="24"/>
          <w:szCs w:val="24"/>
          <w:lang w:eastAsia="ja-JP"/>
        </w:rPr>
        <w:t>1.1</w:t>
      </w:r>
      <w:r w:rsidRPr="00F37498">
        <w:rPr>
          <w:rFonts w:ascii="Calibri" w:eastAsia="MS Mincho" w:hAnsi="Calibri"/>
          <w:b/>
          <w:sz w:val="24"/>
          <w:szCs w:val="24"/>
          <w:lang w:eastAsia="ja-JP"/>
        </w:rPr>
        <w:tab/>
        <w:t>General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858"/>
      </w:tblGrid>
      <w:tr w:rsidR="00A7761D" w:rsidRPr="000414B4" w:rsidTr="00701671">
        <w:tc>
          <w:tcPr>
            <w:tcW w:w="850"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Attend Client, Design, Project, Site and other meetings as provided under this Appointment.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Issue instructions, on behalf of the Client, to the Professional Team and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in accordance with the terms of their Appointments/the Building Contract.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of its obligations under the CDM Regulations.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Comply with the CDM Regulations insofar as they relate to this Appointment.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Agree Project reporting and recording procedures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Implement agreed procedures.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Monitor the performance of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Report to the Client.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regular (monthly) design, quality, cost and programme reports. Advise the Client of any decisions required and obtain authorisation.</w:t>
            </w:r>
          </w:p>
        </w:tc>
      </w:tr>
    </w:tbl>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F37498" w:rsidRDefault="00A7761D" w:rsidP="00A7761D">
      <w:pPr>
        <w:adjustRightInd/>
        <w:spacing w:line="240" w:lineRule="auto"/>
        <w:ind w:left="567" w:hanging="567"/>
        <w:jc w:val="both"/>
        <w:rPr>
          <w:rFonts w:ascii="Calibri" w:eastAsia="MS Mincho" w:hAnsi="Calibri"/>
          <w:b/>
          <w:sz w:val="24"/>
          <w:szCs w:val="24"/>
          <w:lang w:eastAsia="ja-JP"/>
        </w:rPr>
      </w:pPr>
      <w:r w:rsidRPr="00F37498">
        <w:rPr>
          <w:rFonts w:ascii="Calibri" w:eastAsia="MS Mincho" w:hAnsi="Calibri"/>
          <w:b/>
          <w:sz w:val="24"/>
          <w:szCs w:val="24"/>
          <w:lang w:eastAsia="ja-JP"/>
        </w:rPr>
        <w:t xml:space="preserve">1.2 </w:t>
      </w:r>
      <w:r w:rsidRPr="00F37498">
        <w:rPr>
          <w:rFonts w:ascii="Calibri" w:eastAsia="MS Mincho" w:hAnsi="Calibri"/>
          <w:b/>
          <w:sz w:val="24"/>
          <w:szCs w:val="24"/>
          <w:lang w:eastAsia="ja-JP"/>
        </w:rPr>
        <w:tab/>
        <w:t>Preparation and Brief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851"/>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lastRenderedPageBreak/>
              <w:t>1.2.1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Client and the Professional Team to determine the Client’s initial requirements and to develop the Client’s Brief. Establish and review approval, variation and reporting procedures. Prepare recommendations for the Client’s approval.</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Visit the Site and carry out initial inspections. Advise the Client on areas of concern and highlight all areas of risk.</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on structural, building, measured and other surveys and site investigations.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 measured survey/condition survey or other report on the Site or any existing buildings on the Site. Produce dimensioned drawings, schedule of condition and other record documents.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Carry out a desktop study of archive material. Prepare a report and advise the Client.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Advise the Client on demolition, strip-out, site investigation and enabling works contracts required before the Building Contract.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procure demolition, strip-out, site investigation and enabling works contracts if required before the Building Contract.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Advise the Client on specialist services, including consultants, Contractors, sub-Contractors and suppliers required in connection with the Project.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of its obligations under the CDM Regulations.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1.2.10</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Comply with the CDM Regulations 2015 insofar as they relate to this Appointment.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on statutory or other approvals required and fees due in respect of the Project. Recommend payments to the Client.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an initial appraisal for the Project including advice and recommendations on the technical feasibility of the works required, their approximate costs, their design and construction programme and any statutory or other approvals required.</w:t>
            </w:r>
          </w:p>
        </w:tc>
      </w:tr>
    </w:tbl>
    <w:p w:rsidR="00A7761D" w:rsidRPr="000414B4" w:rsidRDefault="00A7761D" w:rsidP="00A7761D">
      <w:pPr>
        <w:adjustRightInd/>
        <w:spacing w:line="240" w:lineRule="auto"/>
        <w:ind w:left="567"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1.3 </w:t>
      </w:r>
      <w:r w:rsidRPr="000414B4">
        <w:rPr>
          <w:rFonts w:ascii="Calibri" w:eastAsia="MS Mincho" w:hAnsi="Calibri"/>
          <w:b/>
          <w:sz w:val="24"/>
          <w:szCs w:val="24"/>
          <w:lang w:eastAsia="ja-JP"/>
        </w:rPr>
        <w:tab/>
        <w:t>Concept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outline proposal(s) for the Project including advice and recommendations on the technical feasibility of the works required, structural design, building services systems and quality standards.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Identify the approximate budget estimates, construction programme and any statutory or other approvals required. Begin preparation of specification documents.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Establish the roles and responsibilities of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specialist/design sub-Contractors.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establish a structure and procedure for design and quality management. Establish and review approval, variation and reporting procedures. Prepare recommendations for the Client’s approval</w:t>
            </w:r>
          </w:p>
        </w:tc>
      </w:tr>
    </w:tbl>
    <w:p w:rsidR="00A7761D" w:rsidRDefault="00A7761D" w:rsidP="00A7761D">
      <w:pPr>
        <w:adjustRightInd/>
        <w:spacing w:line="240" w:lineRule="auto"/>
        <w:ind w:left="567" w:hanging="567"/>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p>
    <w:p w:rsidR="00A7761D" w:rsidRDefault="00A7761D" w:rsidP="00A7761D">
      <w:pPr>
        <w:adjustRightInd/>
        <w:spacing w:line="240" w:lineRule="auto"/>
        <w:ind w:left="567" w:hanging="567"/>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1.4 </w:t>
      </w:r>
      <w:r w:rsidRPr="000414B4">
        <w:rPr>
          <w:rFonts w:ascii="Calibri" w:eastAsia="MS Mincho" w:hAnsi="Calibri"/>
          <w:b/>
          <w:sz w:val="24"/>
          <w:szCs w:val="24"/>
          <w:lang w:eastAsia="ja-JP"/>
        </w:rPr>
        <w:tab/>
        <w:t>Developed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developed, coordinated and updated proposals for the Project including advice and recommendations on the technical feasibility of the works required, structural design, building services systems and quality standards.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Identify measured budget estimates, considered construction programme and confirm any statutory or other approvals required. Finalise specification documents. Prepare recommendations for the Client’s approval.</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Confirm the scope of the Building Contract to the Client and advise on additional works required by third parties.</w:t>
            </w:r>
          </w:p>
        </w:tc>
      </w:tr>
    </w:tbl>
    <w:p w:rsidR="00A7761D" w:rsidRPr="000414B4" w:rsidRDefault="00A7761D" w:rsidP="00A7761D">
      <w:pPr>
        <w:adjustRightInd/>
        <w:spacing w:line="240" w:lineRule="auto"/>
        <w:ind w:left="1134"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1.5</w:t>
      </w:r>
      <w:r w:rsidRPr="000414B4">
        <w:rPr>
          <w:rFonts w:ascii="Calibri" w:eastAsia="MS Mincho" w:hAnsi="Calibri"/>
          <w:b/>
          <w:sz w:val="24"/>
          <w:szCs w:val="24"/>
          <w:lang w:eastAsia="ja-JP"/>
        </w:rPr>
        <w:tab/>
        <w:t>Technical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851"/>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identify any extended lead times for building components and systems.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identify any specialist/proprietary building components and systems. Prepare recommendations for the Client’s approval.</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Prepare and submit planning, building regulations or other statutory applications. Conduct negotiations on behalf of the Client.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a Project summary report including advice and recommendations on the technical feasibility of the works.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Prepare and maintain a Client briefing document, identifying the roles and responsibilities of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specialist sub-Contractors/ suppliers.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Advise on tendering and contractual procurement options.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Advise on suitable tenderers for the Building Contract in line with the Client’s procurement framework.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prepare pre-construction documentation and information required for the safe design and construction of the project. Prepare a risk register to clarify mitigation measures in place for all design aspects.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and finalise tender drawings and specifications in preparation for the procurement process.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1.5.10</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Issue tender documents to Contractors. Respond to queries and clarifications throughout the tender period. Organise and attend pre and post tender interviews (where required); attend and minute tender openings.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Liaise with the Professional Team and advise on errors, omissions, exclusions, qualifications and inconsistencies between the tender documents and the tenders received.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Advise on the tenderers design and construction programmes and method </w:t>
            </w:r>
            <w:r w:rsidRPr="00AC31E5">
              <w:rPr>
                <w:rFonts w:ascii="Calibri" w:eastAsia="MS Mincho" w:hAnsi="Calibri" w:cs="Times New Roman"/>
                <w:sz w:val="24"/>
                <w:szCs w:val="24"/>
                <w:lang w:eastAsia="ja-JP"/>
              </w:rPr>
              <w:lastRenderedPageBreak/>
              <w:t>statements.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lastRenderedPageBreak/>
              <w:t>1.5.13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Liaise with the Professional Team and prepare, or obtain from the Professional Team, cost and design studies to assess alternative Contractor’s proposals.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B04484">
              <w:rPr>
                <w:rFonts w:ascii="Calibri" w:hAnsi="Calibri" w:cs="Calibri"/>
                <w:sz w:val="24"/>
                <w:szCs w:val="24"/>
              </w:rPr>
              <w:t>Provide a Value for Money / Tender Report as appropriate. Reports must include relevant cost benchmarking of the tender sum against both ICN and other non-ICN relevant and comparable schemes to demonstrate value for money. The Value for Money / Tender Report must, as a minimum, provide all information required for internal and external reporting as set out in the template included at Appendix 1 herein.</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Conduct negotiations with tenderers. Prepare documentation to confirm adjustments to the tender sums.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Client and the Professional Team and advise on methods of progressing design and/or construction works prior to the execution of the Building Contract.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Obtain confirmation that required insurances are in place prior to commencement of works on the Site.</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Prepare and assemble the contract drawings and specifications with the Professional Team. Liaise with the Client’s legal advisors if necessary, prepare the contract documents and deliver to the Client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for completion.</w:t>
            </w:r>
          </w:p>
        </w:tc>
      </w:tr>
    </w:tbl>
    <w:p w:rsidR="00A7761D" w:rsidRPr="000414B4" w:rsidRDefault="00A7761D" w:rsidP="00A7761D">
      <w:pPr>
        <w:adjustRightInd/>
        <w:spacing w:line="240" w:lineRule="auto"/>
        <w:ind w:left="1134"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1.6 </w:t>
      </w:r>
      <w:r w:rsidRPr="000414B4">
        <w:rPr>
          <w:rFonts w:ascii="Calibri" w:eastAsia="MS Mincho" w:hAnsi="Calibri"/>
          <w:b/>
          <w:sz w:val="24"/>
          <w:szCs w:val="24"/>
          <w:lang w:eastAsia="ja-JP"/>
        </w:rPr>
        <w:tab/>
        <w:t>Construction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Principal Contractor for the duration of the Building Surveyors appointment and share with the Principal Contractor information relevant to the planning, management and monitoring of the construction phase and the coordination of the health and safety matters during the construction phase.</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Assist the Principal Contractor in preparing the construction phase plan by providing to the Principal Contractor all information the Building Surveyor holds and which is relevant to the construction, including pre construction information obtained from the Client and any information obtained from designers.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Convene and chair regular/monthly site meetings with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where appropriate, sub-Contractor(s) or supplier(s). Take minutes of the matters discussed and issue copies of minutes to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such other persons attending the meeting within 7 working days.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and the Professional Team and conduct negotiations with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Prepare documentation to confirm the agreements reached.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Undertake </w:t>
            </w:r>
            <w:r>
              <w:rPr>
                <w:rFonts w:ascii="Calibri" w:eastAsia="MS Mincho" w:hAnsi="Calibri" w:cs="Times New Roman"/>
                <w:sz w:val="24"/>
                <w:szCs w:val="24"/>
                <w:lang w:eastAsia="ja-JP"/>
              </w:rPr>
              <w:t>fortnightly</w:t>
            </w:r>
            <w:r w:rsidRPr="00AC31E5">
              <w:rPr>
                <w:rFonts w:ascii="Calibri" w:eastAsia="MS Mincho" w:hAnsi="Calibri" w:cs="Times New Roman"/>
                <w:sz w:val="24"/>
                <w:szCs w:val="24"/>
                <w:lang w:eastAsia="ja-JP"/>
              </w:rPr>
              <w:t xml:space="preserve"> site inspections. Obtain progress and quality reports from site staff representing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Visit the Site </w:t>
            </w:r>
            <w:r>
              <w:rPr>
                <w:rFonts w:ascii="Calibri" w:eastAsia="MS Mincho" w:hAnsi="Calibri" w:cs="Times New Roman"/>
                <w:sz w:val="24"/>
                <w:szCs w:val="24"/>
                <w:lang w:eastAsia="ja-JP"/>
              </w:rPr>
              <w:t xml:space="preserve">fortnightly </w:t>
            </w:r>
            <w:r w:rsidRPr="00AC31E5">
              <w:rPr>
                <w:rFonts w:ascii="Calibri" w:eastAsia="MS Mincho" w:hAnsi="Calibri" w:cs="Times New Roman"/>
                <w:sz w:val="24"/>
                <w:szCs w:val="24"/>
                <w:lang w:eastAsia="ja-JP"/>
              </w:rPr>
              <w:t xml:space="preserve">and assess the progress of the Project for interim payment purposes. Liaise with the Professional Team and prepare </w:t>
            </w:r>
            <w:r w:rsidRPr="00AC31E5">
              <w:rPr>
                <w:rFonts w:ascii="Calibri" w:eastAsia="MS Mincho" w:hAnsi="Calibri" w:cs="Times New Roman"/>
                <w:sz w:val="24"/>
                <w:szCs w:val="24"/>
                <w:lang w:eastAsia="ja-JP"/>
              </w:rPr>
              <w:lastRenderedPageBreak/>
              <w:t xml:space="preserve">recommendations for interim payments to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lastRenderedPageBreak/>
              <w:t>1.6.7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Advise, or obtain advice from the Professional Team, on the cost and programme effect of variations prior to the issue of instructions under the Building Contract. Agree the cost of instructions, issued under the Building Contract and obtain authorisation from the Client for any additional costs.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Agree all test certificates and statutory and non-statutory approvals required from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Advise on the rights and obligations of the parties to the Building Contract.</w:t>
            </w:r>
          </w:p>
        </w:tc>
      </w:tr>
    </w:tbl>
    <w:p w:rsidR="00A7761D" w:rsidRDefault="00A7761D" w:rsidP="00A7761D">
      <w:pPr>
        <w:adjustRightInd/>
        <w:spacing w:line="240" w:lineRule="auto"/>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1.7 </w:t>
      </w:r>
      <w:r w:rsidRPr="000414B4">
        <w:rPr>
          <w:rFonts w:ascii="Calibri" w:eastAsia="MS Mincho" w:hAnsi="Calibri"/>
          <w:b/>
          <w:sz w:val="24"/>
          <w:szCs w:val="24"/>
          <w:lang w:eastAsia="ja-JP"/>
        </w:rPr>
        <w:tab/>
        <w:t>Handover and Close Out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prepare and maintain a handover plan, or similar management tool, identifying the roles and responsibilities of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prepare and maintain a defects administration plan, or similar management tool, to identify the roles and responsibilities of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Monitor the flow of defects during the first 12 months and assess the cause of any defect trends. If required, prepare a written report for the Client with recommendations for rectification work. Ensure at all stages that defects are corrected.</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To undertake inspections at Making Good Defects stage and issue a </w:t>
            </w:r>
            <w:r>
              <w:rPr>
                <w:rFonts w:ascii="Calibri" w:eastAsia="MS Mincho" w:hAnsi="Calibri" w:cs="Times New Roman"/>
                <w:sz w:val="24"/>
                <w:szCs w:val="24"/>
                <w:lang w:eastAsia="ja-JP"/>
              </w:rPr>
              <w:t>Notice of Completion</w:t>
            </w:r>
            <w:r w:rsidRPr="00AC31E5">
              <w:rPr>
                <w:rFonts w:ascii="Calibri" w:eastAsia="MS Mincho" w:hAnsi="Calibri" w:cs="Times New Roman"/>
                <w:sz w:val="24"/>
                <w:szCs w:val="24"/>
                <w:lang w:eastAsia="ja-JP"/>
              </w:rPr>
              <w:t xml:space="preserve"> of Making Good</w:t>
            </w:r>
            <w:r>
              <w:rPr>
                <w:rFonts w:ascii="Calibri" w:eastAsia="MS Mincho" w:hAnsi="Calibri" w:cs="Times New Roman"/>
                <w:sz w:val="24"/>
                <w:szCs w:val="24"/>
                <w:lang w:eastAsia="ja-JP"/>
              </w:rPr>
              <w: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977ABA">
              <w:rPr>
                <w:rFonts w:ascii="Calibri" w:hAnsi="Calibri" w:cs="Calibri"/>
                <w:sz w:val="24"/>
                <w:szCs w:val="24"/>
              </w:rPr>
              <w:t xml:space="preserve">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w:t>
            </w:r>
            <w:r>
              <w:rPr>
                <w:rFonts w:ascii="Calibri" w:hAnsi="Calibri" w:cs="Calibri"/>
                <w:sz w:val="24"/>
                <w:szCs w:val="24"/>
              </w:rPr>
              <w:t>2</w:t>
            </w:r>
            <w:r w:rsidRPr="00977ABA">
              <w:rPr>
                <w:rFonts w:ascii="Calibri" w:hAnsi="Calibri" w:cs="Calibri"/>
                <w:sz w:val="24"/>
                <w:szCs w:val="24"/>
              </w:rPr>
              <w:t xml:space="preserve"> herein as required by the Client.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1.7.6</w:t>
            </w:r>
          </w:p>
          <w:p w:rsidR="00A7761D" w:rsidRPr="00F37498"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Facilitate agreement to the final account or similar financial statement from the parties to the Building Contract. This includes the assessment of loss and expense claims and the recovery of liquidated and ascertained damages.</w:t>
            </w:r>
          </w:p>
        </w:tc>
      </w:tr>
      <w:tr w:rsidR="00A7761D" w:rsidRPr="000414B4" w:rsidTr="00701671">
        <w:tc>
          <w:tcPr>
            <w:tcW w:w="817" w:type="dxa"/>
            <w:shd w:val="clear" w:color="auto" w:fill="auto"/>
          </w:tcPr>
          <w:p w:rsidR="00A7761D" w:rsidRDefault="00A7761D" w:rsidP="00701671">
            <w:pPr>
              <w:adjustRightInd/>
              <w:spacing w:line="240" w:lineRule="auto"/>
              <w:jc w:val="both"/>
              <w:rPr>
                <w:rFonts w:ascii="Calibri" w:eastAsia="MS Mincho" w:hAnsi="Calibri" w:cs="Times New Roman"/>
                <w:sz w:val="24"/>
                <w:szCs w:val="24"/>
                <w:lang w:eastAsia="ja-JP"/>
              </w:rPr>
            </w:pPr>
            <w:r>
              <w:rPr>
                <w:rFonts w:ascii="Calibri" w:eastAsia="MS Mincho" w:hAnsi="Calibri" w:cs="Times New Roman"/>
                <w:sz w:val="24"/>
                <w:szCs w:val="24"/>
                <w:lang w:eastAsia="ja-JP"/>
              </w:rPr>
              <w:t>1.7.7</w:t>
            </w:r>
          </w:p>
          <w:p w:rsidR="00A7761D" w:rsidRPr="00F37498"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The Building Surveyor will collate, check, maintain and update as appropriate (in conjunction with the Principal Contractor) a Health and Safety file to be used post handover by the end user. This file should be in a format agreed with the commissioning Client. The Building Surveyor is to check and sign off the final information provided.</w:t>
            </w:r>
          </w:p>
        </w:tc>
      </w:tr>
    </w:tbl>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p>
    <w:p w:rsidR="00A7761D" w:rsidRDefault="00A7761D" w:rsidP="00A7761D">
      <w:pPr>
        <w:adjustRightInd/>
        <w:spacing w:line="240" w:lineRule="auto"/>
        <w:jc w:val="both"/>
        <w:rPr>
          <w:rFonts w:ascii="Calibri" w:eastAsia="Calibri" w:hAnsi="Calibri"/>
          <w:b/>
          <w:sz w:val="24"/>
          <w:szCs w:val="24"/>
          <w:u w:val="single"/>
          <w:lang w:eastAsia="en-US"/>
        </w:rPr>
      </w:pPr>
      <w:r w:rsidRPr="000414B4">
        <w:rPr>
          <w:rFonts w:ascii="Calibri" w:eastAsia="Calibri" w:hAnsi="Calibri"/>
          <w:sz w:val="24"/>
          <w:szCs w:val="24"/>
          <w:lang w:eastAsia="en-US"/>
        </w:rPr>
        <w:t>This appointment is being executed as a deed. Documentation and guidance relat</w:t>
      </w:r>
      <w:r>
        <w:rPr>
          <w:rFonts w:ascii="Calibri" w:eastAsia="Calibri" w:hAnsi="Calibri"/>
          <w:sz w:val="24"/>
          <w:szCs w:val="24"/>
          <w:lang w:eastAsia="en-US"/>
        </w:rPr>
        <w:t>ing to matters arising from the</w:t>
      </w:r>
      <w:r w:rsidRPr="000414B4">
        <w:rPr>
          <w:rFonts w:ascii="Calibri" w:eastAsia="Calibri" w:hAnsi="Calibri"/>
          <w:sz w:val="24"/>
          <w:szCs w:val="24"/>
          <w:lang w:eastAsia="en-US"/>
        </w:rPr>
        <w:t xml:space="preserve"> Building Contract may be sought for the full term of the deed.</w:t>
      </w:r>
    </w:p>
    <w:p w:rsidR="00A7761D" w:rsidRPr="00F92D87" w:rsidRDefault="00A7761D" w:rsidP="00A7761D">
      <w:pPr>
        <w:adjustRightInd/>
        <w:spacing w:line="240" w:lineRule="auto"/>
        <w:jc w:val="both"/>
        <w:rPr>
          <w:rFonts w:ascii="Calibri" w:eastAsia="Calibri" w:hAnsi="Calibri"/>
          <w:b/>
          <w:sz w:val="24"/>
          <w:szCs w:val="24"/>
          <w:u w:val="single"/>
          <w:lang w:eastAsia="en-US"/>
        </w:rPr>
      </w:pPr>
    </w:p>
    <w:p w:rsidR="00A7761D" w:rsidRPr="00977ABA" w:rsidRDefault="00A7761D" w:rsidP="00A7761D">
      <w:pPr>
        <w:adjustRightInd/>
        <w:spacing w:after="200"/>
        <w:jc w:val="center"/>
        <w:rPr>
          <w:rFonts w:ascii="Calibri" w:eastAsia="Calibri" w:hAnsi="Calibri" w:cs="Calibri"/>
          <w:b/>
          <w:sz w:val="24"/>
          <w:szCs w:val="24"/>
          <w:lang w:eastAsia="en-US"/>
        </w:rPr>
      </w:pPr>
      <w:r>
        <w:rPr>
          <w:rFonts w:ascii="Calibri" w:eastAsia="Calibri" w:hAnsi="Calibri" w:cs="Calibri"/>
          <w:b/>
          <w:noProof/>
          <w:sz w:val="24"/>
          <w:szCs w:val="24"/>
        </w:rPr>
        <w:lastRenderedPageBreak/>
        <w:drawing>
          <wp:inline distT="0" distB="0" distL="0" distR="0">
            <wp:extent cx="1431925" cy="143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A7761D" w:rsidRPr="00977ABA" w:rsidRDefault="00A7761D" w:rsidP="00A7761D">
      <w:pPr>
        <w:adjustRightInd/>
        <w:spacing w:after="200"/>
        <w:jc w:val="center"/>
        <w:rPr>
          <w:rFonts w:ascii="Calibri" w:eastAsia="Calibri" w:hAnsi="Calibri" w:cs="Calibri"/>
          <w:b/>
          <w:sz w:val="24"/>
          <w:szCs w:val="24"/>
          <w:lang w:eastAsia="en-US"/>
        </w:rPr>
      </w:pPr>
      <w:r w:rsidRPr="00977ABA">
        <w:rPr>
          <w:rFonts w:ascii="Calibri" w:eastAsia="Calibri" w:hAnsi="Calibri" w:cs="Calibri"/>
          <w:b/>
          <w:sz w:val="24"/>
          <w:szCs w:val="24"/>
          <w:lang w:eastAsia="en-US"/>
        </w:rPr>
        <w:t>Appendix 1</w:t>
      </w:r>
    </w:p>
    <w:p w:rsidR="00A7761D" w:rsidRPr="00977ABA" w:rsidRDefault="00A7761D" w:rsidP="00A7761D">
      <w:pPr>
        <w:adjustRightInd/>
        <w:spacing w:after="200"/>
        <w:jc w:val="center"/>
        <w:rPr>
          <w:rFonts w:ascii="Calibri" w:eastAsia="Calibri" w:hAnsi="Calibri" w:cs="Calibri"/>
          <w:b/>
          <w:sz w:val="24"/>
          <w:szCs w:val="24"/>
          <w:lang w:eastAsia="en-US"/>
        </w:rPr>
      </w:pPr>
      <w:r w:rsidRPr="00977ABA">
        <w:rPr>
          <w:rFonts w:ascii="Calibri" w:eastAsia="Calibri" w:hAnsi="Calibri" w:cs="Calibri"/>
          <w:b/>
          <w:sz w:val="24"/>
          <w:szCs w:val="24"/>
          <w:lang w:eastAsia="en-US"/>
        </w:rPr>
        <w:t>Value for Money (VFM) / Tender Report –Standard Template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The Consultant’s Tender / VFM Report should cover the following matters as required for issue to for the Client for approval (amended to suit the project):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CONTENTS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1) Introduction</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Project background</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Name of </w:t>
      </w:r>
      <w:r>
        <w:rPr>
          <w:rFonts w:ascii="Calibri" w:eastAsia="Times New Roman" w:hAnsi="Calibri" w:cs="Calibri"/>
          <w:sz w:val="24"/>
          <w:szCs w:val="24"/>
        </w:rPr>
        <w:t xml:space="preserve">Principal </w:t>
      </w:r>
      <w:r w:rsidRPr="00977ABA">
        <w:rPr>
          <w:rFonts w:ascii="Calibri" w:eastAsia="Times New Roman" w:hAnsi="Calibri" w:cs="Calibri"/>
          <w:sz w:val="24"/>
          <w:szCs w:val="24"/>
        </w:rPr>
        <w:t>Contractor / Architect / Engineer / Principal Designer (full directory not required)</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details of the scheme including mix and tenure</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of selected procurement route (negotiated or tender)</w:t>
      </w:r>
    </w:p>
    <w:p w:rsidR="00A7761D" w:rsidRPr="00977ABA" w:rsidRDefault="00A7761D" w:rsidP="00A7761D">
      <w:pPr>
        <w:adjustRightInd/>
        <w:spacing w:line="240" w:lineRule="auto"/>
        <w:rPr>
          <w:rFonts w:ascii="Calibri" w:eastAsia="Times New Roman" w:hAnsi="Calibri" w:cs="Calibri"/>
          <w:b/>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2) Key Contract Information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Form of Contract</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 period</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Date of possession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Date for completion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Liquidated and Ascertained Damages / week</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Insurance of Works</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Payment periods</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Rectification Period</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Performance Bond, Parent Company Guarantee </w:t>
      </w:r>
      <w:r>
        <w:rPr>
          <w:rFonts w:ascii="Calibri" w:eastAsia="Times New Roman" w:hAnsi="Calibri" w:cs="Calibri"/>
          <w:sz w:val="24"/>
          <w:szCs w:val="24"/>
        </w:rPr>
        <w:t xml:space="preserve">Principal </w:t>
      </w:r>
      <w:r w:rsidRPr="00977ABA">
        <w:rPr>
          <w:rFonts w:ascii="Calibri" w:eastAsia="Times New Roman" w:hAnsi="Calibri" w:cs="Calibri"/>
          <w:sz w:val="24"/>
          <w:szCs w:val="24"/>
        </w:rPr>
        <w:t>Contractor Insolvency cover provision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Building Warranty provider</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Retentions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3) Tendering procedure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 commentary on</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Tender list</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Tender documentation issued / survey information</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Basis of tenders issued and procurement route (inc details of negotiated routes on/off framework)</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Submission date / tender valid until date</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PD appointment / principal contractor competency / F10 status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4) Current Tendering Climate.</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Commentary on recent tenders, BCIS inflation forecast etc</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5) Evaluation of tender offer</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Detailed analysis of tender costs including comments on:</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tender sum analysis</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Process of negotiations where required</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Comparison with estimate /  cost plan / budget</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Value for money including commentary and data on:</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Costs per unit and £/m2</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Distribution of costs by element %</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u w:val="single"/>
        </w:rPr>
      </w:pPr>
      <w:r w:rsidRPr="00977ABA">
        <w:rPr>
          <w:rFonts w:ascii="Calibri" w:eastAsia="Times New Roman" w:hAnsi="Calibri" w:cs="Calibri"/>
          <w:sz w:val="24"/>
          <w:szCs w:val="24"/>
          <w:u w:val="single"/>
        </w:rPr>
        <w:t>Benchmarking analysis against ICN schemes and other relevant and comparable cost data available (i.e. BCIS index, other RP projects)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Provisional Sums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Preliminaries costs / OH&amp;P / fees and charges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 commentary on abnormal cost elements</w:t>
      </w:r>
    </w:p>
    <w:p w:rsidR="00A7761D" w:rsidRPr="00977ABA" w:rsidRDefault="00A7761D" w:rsidP="00A7761D">
      <w:pPr>
        <w:numPr>
          <w:ilvl w:val="0"/>
          <w:numId w:val="2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Comparison with budget cost plan  / pre-tender estimate</w:t>
      </w:r>
    </w:p>
    <w:p w:rsidR="00A7761D" w:rsidRPr="00977ABA" w:rsidRDefault="00A7761D" w:rsidP="00A7761D">
      <w:pPr>
        <w:numPr>
          <w:ilvl w:val="0"/>
          <w:numId w:val="13"/>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Tender qualifications / clarifications and client risks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6) Tender Offer</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A7761D" w:rsidRPr="00977ABA" w:rsidRDefault="00A7761D" w:rsidP="00A7761D">
      <w:pPr>
        <w:adjustRightInd/>
        <w:spacing w:line="240" w:lineRule="auto"/>
        <w:ind w:left="720"/>
        <w:contextualSpacing/>
        <w:rPr>
          <w:rFonts w:ascii="Calibri" w:eastAsia="Times New Roman" w:hAnsi="Calibri" w:cs="Calibri"/>
          <w:i/>
          <w:sz w:val="24"/>
          <w:szCs w:val="24"/>
        </w:rPr>
      </w:pPr>
      <w:r w:rsidRPr="00977ABA">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A7761D" w:rsidRPr="00977ABA" w:rsidRDefault="00A7761D" w:rsidP="00A7761D">
      <w:pPr>
        <w:adjustRightInd/>
        <w:spacing w:line="240" w:lineRule="auto"/>
        <w:ind w:left="720"/>
        <w:contextualSpacing/>
        <w:rPr>
          <w:rFonts w:ascii="Calibri" w:eastAsia="Times New Roman" w:hAnsi="Calibri" w:cs="Calibri"/>
          <w:i/>
          <w:sz w:val="24"/>
          <w:szCs w:val="24"/>
        </w:rPr>
      </w:pPr>
    </w:p>
    <w:p w:rsidR="00A7761D" w:rsidRPr="00977ABA" w:rsidRDefault="00A7761D" w:rsidP="00A7761D">
      <w:pPr>
        <w:adjustRightInd/>
        <w:spacing w:line="240" w:lineRule="auto"/>
        <w:ind w:left="720"/>
        <w:contextualSpacing/>
        <w:rPr>
          <w:rFonts w:ascii="Calibri" w:eastAsia="Times New Roman" w:hAnsi="Calibri" w:cs="Calibri"/>
          <w:i/>
          <w:sz w:val="24"/>
          <w:szCs w:val="24"/>
        </w:rPr>
      </w:pPr>
    </w:p>
    <w:p w:rsidR="00A7761D" w:rsidRPr="00977ABA" w:rsidRDefault="00A7761D" w:rsidP="00A7761D">
      <w:pPr>
        <w:adjustRightInd/>
        <w:spacing w:line="240" w:lineRule="auto"/>
        <w:rPr>
          <w:rFonts w:ascii="Calibri" w:eastAsia="Times New Roman" w:hAnsi="Calibri" w:cs="Calibri"/>
          <w:sz w:val="24"/>
          <w:szCs w:val="24"/>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90"/>
        <w:gridCol w:w="1537"/>
        <w:gridCol w:w="1701"/>
        <w:gridCol w:w="1582"/>
        <w:gridCol w:w="907"/>
      </w:tblGrid>
      <w:tr w:rsidR="00A7761D" w:rsidRPr="00977ABA" w:rsidTr="00701671">
        <w:trPr>
          <w:trHeight w:val="1035"/>
          <w:jc w:val="center"/>
        </w:trPr>
        <w:tc>
          <w:tcPr>
            <w:tcW w:w="322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IMS Capital Cost </w:t>
            </w:r>
          </w:p>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Element </w:t>
            </w:r>
          </w:p>
        </w:tc>
        <w:tc>
          <w:tcPr>
            <w:tcW w:w="1190"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Houses (Rental) </w:t>
            </w:r>
          </w:p>
        </w:tc>
        <w:tc>
          <w:tcPr>
            <w:tcW w:w="153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House  (Shared Ownership)  </w:t>
            </w:r>
          </w:p>
        </w:tc>
        <w:tc>
          <w:tcPr>
            <w:tcW w:w="1701"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Apartments (Rental) </w:t>
            </w:r>
          </w:p>
        </w:tc>
        <w:tc>
          <w:tcPr>
            <w:tcW w:w="1582"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Apartments (Shared Ownership) </w:t>
            </w:r>
          </w:p>
        </w:tc>
        <w:tc>
          <w:tcPr>
            <w:tcW w:w="90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Total  </w:t>
            </w:r>
          </w:p>
        </w:tc>
      </w:tr>
      <w:tr w:rsidR="00A7761D" w:rsidRPr="00977ABA" w:rsidTr="00701671">
        <w:trPr>
          <w:trHeight w:val="315"/>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190"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537"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701"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582"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907"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Main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Superstructure</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15"/>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Substructure</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Supplementary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Facilitating works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lastRenderedPageBreak/>
              <w:t>Finishes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Fittings, furnishings and equipment</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Services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Prefabricated Buildings and building units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Works to existing building</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External works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Associated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Preliminaries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Overheads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Profit</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Risk (Client contingencies)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On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Contractors Project/Design Team Fees</w:t>
            </w:r>
          </w:p>
        </w:tc>
        <w:tc>
          <w:tcPr>
            <w:tcW w:w="1190"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Total Works Costs (A)</w:t>
            </w:r>
          </w:p>
        </w:tc>
        <w:tc>
          <w:tcPr>
            <w:tcW w:w="1190" w:type="dxa"/>
            <w:shd w:val="clear" w:color="auto" w:fill="auto"/>
            <w:noWrap/>
            <w:vAlign w:val="center"/>
          </w:tcPr>
          <w:p w:rsidR="00A7761D" w:rsidRPr="001D1111" w:rsidRDefault="00A7761D" w:rsidP="00701671">
            <w:pPr>
              <w:adjustRightInd/>
              <w:spacing w:after="200"/>
              <w:rPr>
                <w:rFonts w:ascii="Calibri" w:eastAsia="Times New Roman" w:hAnsi="Calibri" w:cs="Calibri"/>
                <w:sz w:val="20"/>
                <w:szCs w:val="20"/>
              </w:rPr>
            </w:pPr>
          </w:p>
        </w:tc>
        <w:tc>
          <w:tcPr>
            <w:tcW w:w="1537"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1701"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1582"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907"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r>
      <w:tr w:rsidR="00A7761D" w:rsidRPr="00977ABA" w:rsidTr="00701671">
        <w:trPr>
          <w:trHeight w:val="300"/>
          <w:jc w:val="center"/>
        </w:trPr>
        <w:tc>
          <w:tcPr>
            <w:tcW w:w="3227" w:type="dxa"/>
            <w:tcBorders>
              <w:bottom w:val="single" w:sz="4" w:space="0" w:color="auto"/>
            </w:tcBorders>
            <w:shd w:val="pct12"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Other development  / Project costs (excluding land acquisition) (B)</w:t>
            </w:r>
          </w:p>
        </w:tc>
        <w:tc>
          <w:tcPr>
            <w:tcW w:w="6917" w:type="dxa"/>
            <w:gridSpan w:val="5"/>
            <w:tcBorders>
              <w:bottom w:val="single" w:sz="4" w:space="0" w:color="auto"/>
            </w:tcBorders>
            <w:shd w:val="pct12" w:color="auto" w:fill="auto"/>
            <w:noWrap/>
            <w:vAlign w:val="center"/>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Client to include</w:t>
            </w:r>
          </w:p>
        </w:tc>
      </w:tr>
      <w:tr w:rsidR="00A7761D" w:rsidRPr="001D1111" w:rsidTr="00701671">
        <w:trPr>
          <w:trHeight w:val="495"/>
          <w:jc w:val="center"/>
        </w:trPr>
        <w:tc>
          <w:tcPr>
            <w:tcW w:w="322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Total Scheme Costs (TSC) (A+B)</w:t>
            </w:r>
          </w:p>
        </w:tc>
        <w:tc>
          <w:tcPr>
            <w:tcW w:w="1190"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53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701"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582"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r>
    </w:tbl>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u w:val="single"/>
        </w:rPr>
        <w:t>*Contractor On-Costs:</w:t>
      </w:r>
      <w:r w:rsidRPr="00977ABA">
        <w:rPr>
          <w:rFonts w:ascii="Calibri" w:eastAsia="Times New Roman" w:hAnsi="Calibri" w:cs="Calibri"/>
          <w:i/>
          <w:sz w:val="24"/>
          <w:szCs w:val="24"/>
        </w:rPr>
        <w:t xml:space="preserve"> The HE definition of Contractor on cost items to be split from the works costs element are:</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Consultant design fees (where incurred by the contractor under a D&amp;B contract)</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Legal fees, disbursements and expenses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Fees for building control and planning permission</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Fees and charges associated with the Agency’s requirements relating to the energy rating of dwellings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In-house or external consultant fees, disbursement and expenses (where incurred by the contractor under a D&amp;B contract)</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Insurance premiums including building warranty and defects / liability insurance (except contract insurance included in the works costs)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Contract performance bond premiums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7) Tender Compliance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 commentary on:</w:t>
      </w:r>
    </w:p>
    <w:p w:rsidR="00A7761D" w:rsidRPr="00977ABA" w:rsidRDefault="00A7761D" w:rsidP="00A7761D">
      <w:pPr>
        <w:numPr>
          <w:ilvl w:val="0"/>
          <w:numId w:val="13"/>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(detail of compliance with Employer’s Requirements)</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lastRenderedPageBreak/>
        <w:t>Confirmation via architect/contractor the scheme complies with all client design standards a</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Homes England Capital Costs Business Rules Compliance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2410"/>
      </w:tblGrid>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b/>
                <w:sz w:val="24"/>
                <w:szCs w:val="24"/>
              </w:rPr>
            </w:pPr>
            <w:r w:rsidRPr="001D1111">
              <w:rPr>
                <w:rFonts w:ascii="Calibri" w:eastAsia="Times New Roman" w:hAnsi="Calibri" w:cs="Calibri"/>
                <w:b/>
                <w:sz w:val="24"/>
                <w:szCs w:val="24"/>
              </w:rPr>
              <w:t>HE Business Rule</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b/>
                <w:sz w:val="24"/>
                <w:szCs w:val="24"/>
              </w:rPr>
            </w:pPr>
            <w:r w:rsidRPr="001D1111">
              <w:rPr>
                <w:rFonts w:ascii="Calibri" w:eastAsia="Times New Roman" w:hAnsi="Calibri" w:cs="Calibri"/>
                <w:b/>
                <w:sz w:val="24"/>
                <w:szCs w:val="24"/>
              </w:rPr>
              <w:t>Actual % &amp; comments on variation</w:t>
            </w: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(2) Main works costs are expected to be at least 60% of the total works costs</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(3) The combined costs for infrastructure, abnormals &amp; S.106 costs are not expected to be more than 30% of the total works costs</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 xml:space="preserve">(4) Associated works costs are not expected to be greater than 20% of the total works cost </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bl>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Comments on any areas of non-compliance</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Checklist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8) Summary and Recommendations</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Recommendations for acceptance based on the agreed contract sum representing good value for money</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Accepted Contract Sum</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Identified client risks </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Documents to be attached to report as appendices:</w:t>
      </w:r>
    </w:p>
    <w:p w:rsidR="00A7761D" w:rsidRPr="00977ABA" w:rsidRDefault="00A7761D" w:rsidP="00A7761D">
      <w:pPr>
        <w:numPr>
          <w:ilvl w:val="0"/>
          <w:numId w:val="17"/>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 Sum Analysis</w:t>
      </w:r>
    </w:p>
    <w:p w:rsidR="00A7761D" w:rsidRPr="00977ABA" w:rsidRDefault="00A7761D" w:rsidP="00A7761D">
      <w:pPr>
        <w:numPr>
          <w:ilvl w:val="0"/>
          <w:numId w:val="17"/>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Checklist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i/>
          <w:sz w:val="24"/>
          <w:szCs w:val="24"/>
        </w:rPr>
      </w:pPr>
      <w:r w:rsidRPr="00977ABA">
        <w:rPr>
          <w:rFonts w:ascii="Calibri" w:eastAsia="Times New Roman" w:hAnsi="Calibri" w:cs="Calibri"/>
          <w:b/>
          <w:i/>
          <w:sz w:val="24"/>
          <w:szCs w:val="24"/>
        </w:rPr>
        <w:t>Report to be Signed and Dated by Consultant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rPr>
        <w:t>NB:</w:t>
      </w: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A7761D" w:rsidRPr="00977ABA" w:rsidRDefault="00A7761D" w:rsidP="00A7761D">
      <w:pPr>
        <w:adjustRightInd/>
        <w:spacing w:line="240" w:lineRule="auto"/>
        <w:rPr>
          <w:rFonts w:ascii="Calibri" w:eastAsia="Times New Roman" w:hAnsi="Calibri" w:cs="Calibri"/>
          <w:i/>
          <w:sz w:val="24"/>
          <w:szCs w:val="24"/>
        </w:rPr>
      </w:pPr>
    </w:p>
    <w:p w:rsidR="00A7761D" w:rsidRDefault="00A7761D" w:rsidP="00A7761D">
      <w:pPr>
        <w:adjustRightInd/>
        <w:spacing w:after="200"/>
        <w:rPr>
          <w:rFonts w:ascii="Calibri" w:eastAsia="Calibri" w:hAnsi="Calibri" w:cs="Calibri"/>
          <w:sz w:val="24"/>
          <w:szCs w:val="24"/>
          <w:lang w:eastAsia="en-US"/>
        </w:rPr>
      </w:pPr>
    </w:p>
    <w:p w:rsidR="00A7761D" w:rsidRDefault="00A7761D" w:rsidP="00A7761D">
      <w:pPr>
        <w:adjustRightInd/>
        <w:spacing w:after="200"/>
        <w:rPr>
          <w:rFonts w:ascii="Calibri" w:eastAsia="Calibri" w:hAnsi="Calibri" w:cs="Calibri"/>
          <w:sz w:val="24"/>
          <w:szCs w:val="24"/>
          <w:lang w:eastAsia="en-US"/>
        </w:rPr>
      </w:pPr>
    </w:p>
    <w:p w:rsidR="00A7761D" w:rsidRDefault="00A7761D" w:rsidP="00A7761D">
      <w:pPr>
        <w:adjustRightInd/>
        <w:spacing w:after="200"/>
        <w:rPr>
          <w:rFonts w:ascii="Calibri" w:eastAsia="Calibri" w:hAnsi="Calibri" w:cs="Calibri"/>
          <w:sz w:val="24"/>
          <w:szCs w:val="24"/>
          <w:lang w:eastAsia="en-US"/>
        </w:rPr>
      </w:pPr>
    </w:p>
    <w:p w:rsidR="00A7761D" w:rsidRPr="00977ABA" w:rsidRDefault="00A7761D" w:rsidP="00A7761D">
      <w:pPr>
        <w:adjustRightInd/>
        <w:spacing w:after="200"/>
        <w:rPr>
          <w:rFonts w:ascii="Calibri" w:eastAsia="Calibri" w:hAnsi="Calibri" w:cs="Calibri"/>
          <w:sz w:val="24"/>
          <w:szCs w:val="24"/>
          <w:lang w:eastAsia="en-US"/>
        </w:rPr>
      </w:pPr>
    </w:p>
    <w:p w:rsidR="00A7761D" w:rsidRPr="001D1111" w:rsidRDefault="00A7761D" w:rsidP="00A7761D">
      <w:pPr>
        <w:adjustRightInd/>
        <w:spacing w:after="200"/>
        <w:jc w:val="center"/>
        <w:rPr>
          <w:rFonts w:ascii="Calibri" w:eastAsia="Calibri" w:hAnsi="Calibri" w:cs="Calibri"/>
          <w:b/>
          <w:sz w:val="24"/>
          <w:szCs w:val="24"/>
          <w:lang w:eastAsia="en-US"/>
        </w:rPr>
      </w:pPr>
      <w:r>
        <w:rPr>
          <w:rFonts w:ascii="Calibri" w:eastAsia="Calibri" w:hAnsi="Calibri" w:cs="Calibri"/>
          <w:b/>
          <w:noProof/>
          <w:sz w:val="24"/>
          <w:szCs w:val="24"/>
        </w:rPr>
        <w:lastRenderedPageBreak/>
        <w:drawing>
          <wp:inline distT="0" distB="0" distL="0" distR="0">
            <wp:extent cx="1443355" cy="14433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inline>
        </w:drawing>
      </w:r>
    </w:p>
    <w:p w:rsidR="00A7761D" w:rsidRPr="001D1111" w:rsidRDefault="00A7761D" w:rsidP="00A7761D">
      <w:pPr>
        <w:adjustRightInd/>
        <w:spacing w:after="200"/>
        <w:jc w:val="center"/>
        <w:rPr>
          <w:rFonts w:ascii="Calibri" w:eastAsia="Calibri" w:hAnsi="Calibri" w:cs="Calibri"/>
          <w:b/>
          <w:sz w:val="24"/>
          <w:szCs w:val="24"/>
          <w:lang w:eastAsia="en-US"/>
        </w:rPr>
      </w:pPr>
      <w:r w:rsidRPr="001D1111">
        <w:rPr>
          <w:rFonts w:ascii="Calibri" w:eastAsia="Calibri" w:hAnsi="Calibri" w:cs="Calibri"/>
          <w:b/>
          <w:sz w:val="24"/>
          <w:szCs w:val="24"/>
          <w:lang w:eastAsia="en-US"/>
        </w:rPr>
        <w:t xml:space="preserve">Appendix </w:t>
      </w:r>
      <w:r>
        <w:rPr>
          <w:rFonts w:ascii="Calibri" w:eastAsia="Calibri" w:hAnsi="Calibri" w:cs="Calibri"/>
          <w:b/>
          <w:sz w:val="24"/>
          <w:szCs w:val="24"/>
          <w:lang w:eastAsia="en-US"/>
        </w:rPr>
        <w:t>2</w:t>
      </w:r>
    </w:p>
    <w:p w:rsidR="00A7761D" w:rsidRPr="001D1111" w:rsidRDefault="00A7761D" w:rsidP="00A7761D">
      <w:pPr>
        <w:adjustRightInd/>
        <w:spacing w:after="100" w:afterAutospacing="1" w:line="240" w:lineRule="auto"/>
        <w:jc w:val="center"/>
        <w:rPr>
          <w:rFonts w:ascii="Calibri" w:eastAsia="Calibri" w:hAnsi="Calibri" w:cs="Calibri"/>
          <w:b/>
          <w:sz w:val="24"/>
          <w:szCs w:val="24"/>
          <w:lang w:eastAsia="en-US"/>
        </w:rPr>
      </w:pPr>
      <w:r w:rsidRPr="001D1111">
        <w:rPr>
          <w:rFonts w:ascii="Calibri" w:eastAsia="Calibri" w:hAnsi="Calibri" w:cs="Calibri"/>
          <w:b/>
          <w:sz w:val="24"/>
          <w:szCs w:val="24"/>
          <w:lang w:eastAsia="en-US"/>
        </w:rPr>
        <w:t>Extension of Time Claim Report – Standard Template</w:t>
      </w: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Scheme Name</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Project Team</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Scheme Background</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Contract Data</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Commencement Date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Completion Date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Period</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Liquidated and Ascertained Damages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Sectional Completion</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Extension of Time Claim</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Date Notified of Delay</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Extension of Time Requested (weeks)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Forecast revised completion date</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Contractual Position (Relevant Events, Contract Clause 2.26)</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2.26.1 - </w:t>
      </w:r>
      <w:r w:rsidRPr="001D1111">
        <w:rPr>
          <w:rFonts w:ascii="Calibri" w:eastAsia="Calibri" w:hAnsi="Calibri" w:cs="Calibri"/>
          <w:i/>
          <w:sz w:val="24"/>
          <w:szCs w:val="24"/>
          <w:lang w:eastAsia="en-US"/>
        </w:rPr>
        <w:tab/>
        <w:t>Changes to the works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2.26.2 - </w:t>
      </w:r>
      <w:r w:rsidRPr="001D1111">
        <w:rPr>
          <w:rFonts w:ascii="Calibri" w:eastAsia="Calibri" w:hAnsi="Calibri" w:cs="Calibri"/>
          <w:i/>
          <w:sz w:val="24"/>
          <w:szCs w:val="24"/>
          <w:lang w:eastAsia="en-US"/>
        </w:rPr>
        <w:tab/>
        <w:t>Employer’s instructions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2.26.3 - </w:t>
      </w:r>
      <w:r w:rsidRPr="001D1111">
        <w:rPr>
          <w:rFonts w:ascii="Calibri" w:eastAsia="Calibri" w:hAnsi="Calibri" w:cs="Calibri"/>
          <w:i/>
          <w:sz w:val="24"/>
          <w:szCs w:val="24"/>
          <w:lang w:eastAsia="en-US"/>
        </w:rPr>
        <w:tab/>
        <w:t>Deferment of possession</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2.26.4 - </w:t>
      </w:r>
      <w:r w:rsidRPr="001D1111">
        <w:rPr>
          <w:rFonts w:ascii="Calibri" w:eastAsia="Calibri" w:hAnsi="Calibri" w:cs="Calibri"/>
          <w:i/>
          <w:sz w:val="24"/>
          <w:szCs w:val="24"/>
          <w:lang w:eastAsia="en-US"/>
        </w:rPr>
        <w:tab/>
        <w:t>Antiquities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2.26.5 - </w:t>
      </w:r>
      <w:r w:rsidRPr="001D1111">
        <w:rPr>
          <w:rFonts w:ascii="Calibri" w:eastAsia="Calibri" w:hAnsi="Calibri" w:cs="Calibri"/>
          <w:i/>
          <w:sz w:val="24"/>
          <w:szCs w:val="24"/>
          <w:lang w:eastAsia="en-US"/>
        </w:rPr>
        <w:tab/>
        <w:t>Suspension by the Contractor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2.26.6 - </w:t>
      </w:r>
      <w:r w:rsidRPr="001D1111">
        <w:rPr>
          <w:rFonts w:ascii="Calibri" w:eastAsia="Calibri" w:hAnsi="Calibri" w:cs="Calibri"/>
          <w:i/>
          <w:sz w:val="24"/>
          <w:szCs w:val="24"/>
          <w:lang w:eastAsia="en-US"/>
        </w:rPr>
        <w:tab/>
        <w:t>Default by Employer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2.26.7 - </w:t>
      </w:r>
      <w:r w:rsidRPr="001D1111">
        <w:rPr>
          <w:rFonts w:ascii="Calibri" w:eastAsia="Calibri" w:hAnsi="Calibri" w:cs="Calibri"/>
          <w:i/>
          <w:sz w:val="24"/>
          <w:szCs w:val="24"/>
          <w:lang w:eastAsia="en-US"/>
        </w:rPr>
        <w:tab/>
        <w:t>Statutory Undertaker’s non-performance</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2.26.8 - </w:t>
      </w:r>
      <w:r w:rsidRPr="001D1111">
        <w:rPr>
          <w:rFonts w:ascii="Calibri" w:eastAsia="Calibri" w:hAnsi="Calibri" w:cs="Calibri"/>
          <w:i/>
          <w:sz w:val="24"/>
          <w:szCs w:val="24"/>
          <w:lang w:eastAsia="en-US"/>
        </w:rPr>
        <w:tab/>
        <w:t>Exceptionally adverse weather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2.26.9 - </w:t>
      </w:r>
      <w:r w:rsidRPr="001D1111">
        <w:rPr>
          <w:rFonts w:ascii="Calibri" w:eastAsia="Calibri" w:hAnsi="Calibri" w:cs="Calibri"/>
          <w:i/>
          <w:sz w:val="24"/>
          <w:szCs w:val="24"/>
          <w:lang w:eastAsia="en-US"/>
        </w:rPr>
        <w:tab/>
        <w:t>Specified Perils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2.26.10 - </w:t>
      </w:r>
      <w:r w:rsidRPr="001D1111">
        <w:rPr>
          <w:rFonts w:ascii="Calibri" w:eastAsia="Calibri" w:hAnsi="Calibri" w:cs="Calibri"/>
          <w:i/>
          <w:sz w:val="24"/>
          <w:szCs w:val="24"/>
          <w:lang w:eastAsia="en-US"/>
        </w:rPr>
        <w:tab/>
        <w:t>Terrorism</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2.26.11 - </w:t>
      </w:r>
      <w:r w:rsidRPr="001D1111">
        <w:rPr>
          <w:rFonts w:ascii="Calibri" w:eastAsia="Calibri" w:hAnsi="Calibri" w:cs="Calibri"/>
          <w:i/>
          <w:sz w:val="24"/>
          <w:szCs w:val="24"/>
          <w:lang w:eastAsia="en-US"/>
        </w:rPr>
        <w:tab/>
        <w:t>Strikes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2.26.12 - </w:t>
      </w:r>
      <w:r w:rsidRPr="001D1111">
        <w:rPr>
          <w:rFonts w:ascii="Calibri" w:eastAsia="Calibri" w:hAnsi="Calibri" w:cs="Calibri"/>
          <w:i/>
          <w:sz w:val="24"/>
          <w:szCs w:val="24"/>
          <w:lang w:eastAsia="en-US"/>
        </w:rPr>
        <w:tab/>
        <w:t>Statutory powers after the Base Date</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2.26.13 - </w:t>
      </w:r>
      <w:r w:rsidRPr="001D1111">
        <w:rPr>
          <w:rFonts w:ascii="Calibri" w:eastAsia="Calibri" w:hAnsi="Calibri" w:cs="Calibri"/>
          <w:i/>
          <w:sz w:val="24"/>
          <w:szCs w:val="24"/>
          <w:lang w:eastAsia="en-US"/>
        </w:rPr>
        <w:tab/>
        <w:t>Delay in receipt of permission or approval of statutory body</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2.26.14 - </w:t>
      </w:r>
      <w:r w:rsidRPr="001D1111">
        <w:rPr>
          <w:rFonts w:ascii="Calibri" w:eastAsia="Calibri" w:hAnsi="Calibri" w:cs="Calibri"/>
          <w:i/>
          <w:sz w:val="24"/>
          <w:szCs w:val="24"/>
          <w:lang w:eastAsia="en-US"/>
        </w:rPr>
        <w:tab/>
        <w:t xml:space="preserve">Force majeure   </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      </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lastRenderedPageBreak/>
        <w:t>Substantiation of Extension of T</w:t>
      </w:r>
      <w:r w:rsidRPr="001D1111">
        <w:rPr>
          <w:rFonts w:ascii="Calibri" w:eastAsia="Calibri" w:hAnsi="Calibri" w:cs="Calibri"/>
          <w:sz w:val="24"/>
          <w:szCs w:val="24"/>
          <w:lang w:eastAsia="en-US"/>
        </w:rPr>
        <w:t>i</w:t>
      </w:r>
      <w:r w:rsidRPr="001D1111">
        <w:rPr>
          <w:rFonts w:ascii="Calibri" w:eastAsia="Calibri" w:hAnsi="Calibri" w:cs="Calibri"/>
          <w:b/>
          <w:sz w:val="24"/>
          <w:szCs w:val="24"/>
          <w:lang w:eastAsia="en-US"/>
        </w:rPr>
        <w:t>me Claim</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Other Causes of Delay (Non Relevant Events) i.e.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Discharge of Planning Conditions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Shortage of Labour Resources / Building Materials</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Effect of Delays / Mitigation</w:t>
      </w:r>
    </w:p>
    <w:p w:rsidR="00A7761D" w:rsidRPr="001D1111" w:rsidRDefault="00A7761D" w:rsidP="00A7761D">
      <w:pPr>
        <w:adjustRightInd/>
        <w:spacing w:after="100" w:afterAutospacing="1" w:line="240" w:lineRule="auto"/>
        <w:ind w:left="567"/>
        <w:contextualSpacing/>
        <w:rPr>
          <w:rFonts w:ascii="Calibri" w:eastAsia="Calibri" w:hAnsi="Calibri" w:cs="Calibri"/>
          <w:b/>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Loss and Expense Entitlement</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Relevant Matters, Clause 4.21</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 xml:space="preserve">Extension of Time Recommendation </w:t>
      </w:r>
    </w:p>
    <w:p w:rsidR="00A7761D" w:rsidRPr="001D1111" w:rsidRDefault="00A7761D" w:rsidP="00A7761D">
      <w:pPr>
        <w:adjustRightInd/>
        <w:spacing w:after="100" w:afterAutospacing="1" w:line="240" w:lineRule="auto"/>
        <w:ind w:left="720"/>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Liquidated and Ascertained Damages entitled to be Charged</w:t>
      </w: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2" w:name="_Toc43220408"/>
      <w:r w:rsidRPr="00656752">
        <w:instrText>Appendix C to the Allocation Letter: The Brief</w:instrText>
      </w:r>
      <w:bookmarkEnd w:id="12"/>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3" w:name="_Toc43220409"/>
      <w:r w:rsidRPr="00656752">
        <w:instrText>Appendix D to the Allocation Letter: The Programme</w:instrText>
      </w:r>
      <w:bookmarkEnd w:id="13"/>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223749"/>
    <w:multiLevelType w:val="hybridMultilevel"/>
    <w:tmpl w:val="EFC4CA42"/>
    <w:lvl w:ilvl="0" w:tplc="4EB02EE2">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670ED2"/>
    <w:multiLevelType w:val="multilevel"/>
    <w:tmpl w:val="6E9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9"/>
  </w:num>
  <w:num w:numId="6">
    <w:abstractNumId w:val="12"/>
  </w:num>
  <w:num w:numId="7">
    <w:abstractNumId w:val="16"/>
  </w:num>
  <w:num w:numId="8">
    <w:abstractNumId w:val="17"/>
  </w:num>
  <w:num w:numId="9">
    <w:abstractNumId w:val="3"/>
  </w:num>
  <w:num w:numId="10">
    <w:abstractNumId w:val="15"/>
  </w:num>
  <w:num w:numId="11">
    <w:abstractNumId w:val="2"/>
  </w:num>
  <w:num w:numId="12">
    <w:abstractNumId w:val="20"/>
  </w:num>
  <w:num w:numId="13">
    <w:abstractNumId w:val="10"/>
  </w:num>
  <w:num w:numId="14">
    <w:abstractNumId w:val="6"/>
  </w:num>
  <w:num w:numId="15">
    <w:abstractNumId w:val="13"/>
  </w:num>
  <w:num w:numId="16">
    <w:abstractNumId w:val="9"/>
  </w:num>
  <w:num w:numId="17">
    <w:abstractNumId w:val="11"/>
  </w:num>
  <w:num w:numId="18">
    <w:abstractNumId w:val="21"/>
  </w:num>
  <w:num w:numId="19">
    <w:abstractNumId w:val="5"/>
  </w:num>
  <w:num w:numId="20">
    <w:abstractNumId w:val="7"/>
  </w:num>
  <w:num w:numId="21">
    <w:abstractNumId w:val="4"/>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21911"/>
    <w:rsid w:val="00034455"/>
    <w:rsid w:val="001A3899"/>
    <w:rsid w:val="00320F8B"/>
    <w:rsid w:val="00353E91"/>
    <w:rsid w:val="003D4419"/>
    <w:rsid w:val="00431C29"/>
    <w:rsid w:val="004C742E"/>
    <w:rsid w:val="0067690D"/>
    <w:rsid w:val="006922C7"/>
    <w:rsid w:val="00800226"/>
    <w:rsid w:val="00A7761D"/>
    <w:rsid w:val="00A85BAF"/>
    <w:rsid w:val="00AE1689"/>
    <w:rsid w:val="00B46A9C"/>
    <w:rsid w:val="00D86312"/>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ABB0"/>
  <w15:docId w15:val="{2E24360D-0463-4D08-B7F8-EE93053E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uiPriority w:val="99"/>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uiPriority w:val="99"/>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2020-11-05T14:35:00Z</dcterms:created>
  <dcterms:modified xsi:type="dcterms:W3CDTF">2021-08-24T09:37:00Z</dcterms:modified>
</cp:coreProperties>
</file>