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021911">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021911">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021911">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021911">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021911">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fldSimple w:instr=" FORMTEXT "/>
      <w:fldSimple w:instr=" FORMTEXT "/>
      <w:fldSimple w:instr=" FORMTEXT "/>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fldSimple w:instr=" FORMTEXT "/>
      <w:fldSimple w:instr=" FORMTEXT "/>
      <w:r w:rsidRPr="00656752">
        <w:t xml:space="preserve"> day of </w:t>
      </w:r>
      <w:fldSimple w:instr=" FORMTEXT "/>
      <w:fldSimple w:instr=" FORMTEXT "/>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fldSimple w:instr=" FORMTEXT "/>
      <w:fldSimple w:instr=" FORMTEXT "/>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3D4419">
        <w:tc>
          <w:tcPr>
            <w:tcW w:w="5813" w:type="dxa"/>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3D4419">
        <w:tc>
          <w:tcPr>
            <w:tcW w:w="5813" w:type="dxa"/>
          </w:tcPr>
          <w:p w:rsidR="00320F8B" w:rsidRPr="00656752" w:rsidRDefault="00320F8B" w:rsidP="003D4419">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p>
        </w:tc>
      </w:tr>
      <w:tr w:rsidR="00320F8B" w:rsidRPr="00656752" w:rsidTr="003D4419">
        <w:trPr>
          <w:gridAfter w:val="1"/>
          <w:wAfter w:w="2395" w:type="dxa"/>
        </w:trPr>
        <w:tc>
          <w:tcPr>
            <w:tcW w:w="5813" w:type="dxa"/>
            <w:gridSpan w:val="2"/>
          </w:tcPr>
          <w:p w:rsidR="00320F8B" w:rsidRPr="00656752" w:rsidRDefault="00320F8B" w:rsidP="003D4419">
            <w:pPr>
              <w:spacing w:before="240"/>
              <w:jc w:val="both"/>
              <w:rPr>
                <w:rFonts w:eastAsia="Malgun Gothic" w:hAnsi="Calibri"/>
              </w:rPr>
            </w:pPr>
            <w:r w:rsidRPr="00656752">
              <w:rPr>
                <w:rFonts w:eastAsia="Malgun Gothic" w:hAnsi="Calibri"/>
              </w:rPr>
              <w:t>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rPr>
          <w:cantSplit/>
        </w:trPr>
        <w:tc>
          <w:tcPr>
            <w:tcW w:w="8208" w:type="dxa"/>
            <w:gridSpan w:val="3"/>
          </w:tcPr>
          <w:p w:rsidR="00320F8B" w:rsidRPr="00656752" w:rsidRDefault="00320F8B" w:rsidP="003D4419">
            <w:pPr>
              <w:spacing w:before="240"/>
              <w:jc w:val="both"/>
              <w:rPr>
                <w:rFonts w:eastAsia="Malgun Gothic" w:hAnsi="Calibri"/>
              </w:rPr>
            </w:pPr>
            <w:r w:rsidRPr="00656752">
              <w:rPr>
                <w:rFonts w:eastAsia="Malgun Gothic" w:hAnsi="Calibri"/>
              </w:rPr>
              <w:t>SECRETARY/DIRECTOR</w:t>
            </w:r>
          </w:p>
        </w:tc>
      </w:tr>
      <w:tr w:rsidR="00320F8B" w:rsidRPr="00656752" w:rsidTr="003D4419">
        <w:tc>
          <w:tcPr>
            <w:tcW w:w="2088" w:type="dxa"/>
          </w:tcPr>
          <w:p w:rsidR="00320F8B" w:rsidRPr="00656752" w:rsidRDefault="00320F8B" w:rsidP="003D4419">
            <w:pPr>
              <w:pStyle w:val="Body"/>
            </w:pPr>
            <w:r w:rsidRPr="00656752">
              <w:rPr>
                <w:rFonts w:eastAsia="Malgun Gothic" w:hAnsi="Calibri"/>
              </w:rPr>
              <w:t>Signature:</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rPr>
              <w:t>Name (in block capitals)</w:t>
            </w:r>
          </w:p>
        </w:tc>
        <w:tc>
          <w:tcPr>
            <w:tcW w:w="6120" w:type="dxa"/>
            <w:gridSpan w:val="2"/>
          </w:tcPr>
          <w:p w:rsidR="00320F8B" w:rsidRPr="00656752" w:rsidRDefault="00320F8B" w:rsidP="003D4419">
            <w:pPr>
              <w:pStyle w:val="Body1"/>
            </w:pPr>
          </w:p>
        </w:tc>
      </w:tr>
      <w:tr w:rsidR="00320F8B" w:rsidRPr="00656752" w:rsidTr="003D4419">
        <w:tc>
          <w:tcPr>
            <w:tcW w:w="2088" w:type="dxa"/>
          </w:tcPr>
          <w:p w:rsidR="00320F8B" w:rsidRPr="00656752" w:rsidRDefault="00320F8B" w:rsidP="003D4419">
            <w:pPr>
              <w:pStyle w:val="Body"/>
            </w:pPr>
            <w:r w:rsidRPr="00656752">
              <w:rPr>
                <w:rFonts w:eastAsia="Malgun Gothic" w:hAnsi="Calibri"/>
                <w:b/>
              </w:rPr>
              <w:t>Date:</w:t>
            </w:r>
          </w:p>
        </w:tc>
        <w:tc>
          <w:tcPr>
            <w:tcW w:w="6120" w:type="dxa"/>
            <w:gridSpan w:val="2"/>
          </w:tcPr>
          <w:p w:rsidR="00320F8B" w:rsidRPr="00656752" w:rsidRDefault="00320F8B" w:rsidP="003D4419">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3D4419">
        <w:tc>
          <w:tcPr>
            <w:tcW w:w="1469" w:type="pct"/>
            <w:shd w:val="clear" w:color="auto" w:fill="auto"/>
          </w:tcPr>
          <w:p w:rsidR="00320F8B" w:rsidRPr="00656752" w:rsidRDefault="00320F8B" w:rsidP="003D4419">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3D4419">
            <w:pPr>
              <w:pStyle w:val="Body"/>
              <w:jc w:val="left"/>
            </w:pPr>
          </w:p>
        </w:tc>
        <w:tc>
          <w:tcPr>
            <w:tcW w:w="3531" w:type="pct"/>
            <w:shd w:val="clear" w:color="auto" w:fill="auto"/>
          </w:tcPr>
          <w:p w:rsidR="00320F8B" w:rsidRPr="00656752" w:rsidRDefault="00A7761D" w:rsidP="00A7761D">
            <w:pPr>
              <w:pStyle w:val="Body"/>
            </w:pPr>
            <w:r>
              <w:rPr>
                <w:b/>
              </w:rPr>
              <w:t>Lot C3</w:t>
            </w:r>
            <w:r w:rsidR="0067690D" w:rsidRPr="0067690D">
              <w:rPr>
                <w:b/>
              </w:rPr>
              <w:t xml:space="preserve"> (</w:t>
            </w:r>
            <w:r w:rsidR="0067690D" w:rsidRPr="0067690D">
              <w:rPr>
                <w:b/>
                <w:highlight w:val="yellow"/>
              </w:rPr>
              <w:t>West/East</w:t>
            </w:r>
            <w:r w:rsidR="0067690D" w:rsidRPr="0067690D">
              <w:rPr>
                <w:b/>
              </w:rPr>
              <w:t>)</w:t>
            </w:r>
            <w:r w:rsidR="0067690D">
              <w:t xml:space="preserve"> – </w:t>
            </w:r>
            <w:r w:rsidR="00021911">
              <w:t>Building Surveying</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w:t>
            </w:r>
          </w:p>
          <w:p w:rsidR="00320F8B" w:rsidRPr="00656752" w:rsidRDefault="00320F8B" w:rsidP="003D4419">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3D4419">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67690D" w:rsidRDefault="0067690D" w:rsidP="0067690D">
            <w:pPr>
              <w:pStyle w:val="Body"/>
            </w:pPr>
            <w:r>
              <w:t>Services as set out in Schedule [</w:t>
            </w:r>
            <w:r w:rsidRPr="0067690D">
              <w:rPr>
                <w:highlight w:val="yellow"/>
              </w:rPr>
              <w:t>3A/3B</w:t>
            </w:r>
            <w:r>
              <w:t>] of the Framework Agreement and as detailed at Appendix B below</w:t>
            </w:r>
          </w:p>
          <w:p w:rsidR="0067690D" w:rsidRPr="0067690D" w:rsidRDefault="0067690D" w:rsidP="0067690D">
            <w:pPr>
              <w:pStyle w:val="Body"/>
              <w:rPr>
                <w:i/>
              </w:rPr>
            </w:pPr>
            <w:r w:rsidRPr="003D4419">
              <w:rPr>
                <w:i/>
                <w:highlight w:val="yellow"/>
              </w:rPr>
              <w:t>Detail any additional services as appropriate</w:t>
            </w:r>
            <w:r w:rsidRPr="0067690D">
              <w:rPr>
                <w:i/>
              </w:rPr>
              <w:t xml:space="preserve"> </w:t>
            </w:r>
          </w:p>
          <w:p w:rsidR="00320F8B" w:rsidRPr="00656752" w:rsidRDefault="0067690D" w:rsidP="0067690D">
            <w:pPr>
              <w:pStyle w:val="Body"/>
            </w:pPr>
            <w:r w:rsidRPr="0067690D">
              <w:rPr>
                <w:i/>
              </w:rPr>
              <w:t>(3A is Services outlined in the Service Brief, 3B is any additional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Details of Amendments and Variations to Appointment Terms (if any);</w:t>
            </w:r>
          </w:p>
          <w:p w:rsidR="00320F8B" w:rsidRPr="00656752" w:rsidRDefault="00320F8B" w:rsidP="003D4419">
            <w:pPr>
              <w:pStyle w:val="Body"/>
              <w:jc w:val="left"/>
            </w:pPr>
          </w:p>
        </w:tc>
        <w:tc>
          <w:tcPr>
            <w:tcW w:w="3531" w:type="pct"/>
            <w:shd w:val="clear" w:color="auto" w:fill="auto"/>
          </w:tcPr>
          <w:p w:rsidR="00320F8B" w:rsidRPr="00431C29" w:rsidRDefault="00431C29" w:rsidP="003D4419">
            <w:pPr>
              <w:pStyle w:val="Body"/>
              <w:rPr>
                <w:i/>
              </w:rPr>
            </w:pPr>
            <w:r w:rsidRPr="003D4419">
              <w:rPr>
                <w:i/>
                <w:highlight w:val="yellow"/>
              </w:rPr>
              <w:t>Detail any changes to standard Appointment Terms in Schedule 2 of the Framework Agreement here. If none write N/A.</w:t>
            </w:r>
          </w:p>
        </w:tc>
      </w:tr>
      <w:tr w:rsidR="00320F8B" w:rsidRPr="00656752" w:rsidTr="003D4419">
        <w:tc>
          <w:tcPr>
            <w:tcW w:w="1469" w:type="pct"/>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3D4419">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3D4419">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800226">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Level of Professional Indemnity Insurance Required:</w:t>
            </w:r>
          </w:p>
        </w:tc>
        <w:tc>
          <w:tcPr>
            <w:tcW w:w="3531" w:type="pct"/>
            <w:shd w:val="clear" w:color="auto" w:fill="auto"/>
          </w:tcPr>
          <w:p w:rsidR="00431C29" w:rsidRDefault="00431C29" w:rsidP="00431C29">
            <w:pPr>
              <w:pStyle w:val="Body"/>
            </w:pPr>
            <w:r>
              <w:t>As per minimum limit of in</w:t>
            </w:r>
            <w:r w:rsidR="003D4419">
              <w:t>demnity as set out in the Frame</w:t>
            </w:r>
            <w:r>
              <w:t>w</w:t>
            </w:r>
            <w:r w:rsidR="003D4419">
              <w:t>o</w:t>
            </w:r>
            <w:r>
              <w:t>rk Agreement:</w:t>
            </w:r>
          </w:p>
          <w:p w:rsidR="00431C29" w:rsidRDefault="00A85BAF" w:rsidP="00A85BAF">
            <w:pPr>
              <w:pStyle w:val="Body"/>
            </w:pPr>
            <w:r>
              <w:t>£5,000,000 each and every claim</w:t>
            </w:r>
            <w:r w:rsidR="00431C29">
              <w:t xml:space="preserve">. </w:t>
            </w:r>
          </w:p>
          <w:p w:rsidR="00320F8B" w:rsidRPr="00431C29" w:rsidRDefault="00431C29" w:rsidP="00A85BAF">
            <w:pPr>
              <w:pStyle w:val="Body"/>
              <w:rPr>
                <w:i/>
              </w:rPr>
            </w:pPr>
            <w:r w:rsidRPr="003D4419">
              <w:rPr>
                <w:i/>
                <w:highlight w:val="yellow"/>
              </w:rPr>
              <w:t>If wording on insurance documents is any different than above, you will be advised at call off and it will need including here.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Fee;</w:t>
            </w:r>
          </w:p>
          <w:p w:rsidR="00320F8B" w:rsidRPr="00656752" w:rsidRDefault="00320F8B" w:rsidP="003D4419">
            <w:pPr>
              <w:pStyle w:val="Body"/>
              <w:jc w:val="left"/>
            </w:pPr>
          </w:p>
        </w:tc>
        <w:tc>
          <w:tcPr>
            <w:tcW w:w="3531" w:type="pct"/>
            <w:shd w:val="clear" w:color="auto" w:fill="auto"/>
          </w:tcPr>
          <w:p w:rsidR="00431C29" w:rsidRPr="00431C29" w:rsidRDefault="00431C29" w:rsidP="00431C29">
            <w:pPr>
              <w:pStyle w:val="Body"/>
            </w:pPr>
            <w:r w:rsidRPr="00431C29">
              <w:t>The</w:t>
            </w:r>
            <w:r>
              <w:t xml:space="preserve"> Fee specified within Schedule 6</w:t>
            </w:r>
            <w:r w:rsidRPr="00431C29">
              <w:t xml:space="preserve"> of the Framework Agreement as detailed and completed below:</w:t>
            </w:r>
          </w:p>
          <w:p w:rsidR="00320F8B" w:rsidRPr="00431C29" w:rsidRDefault="00431C29" w:rsidP="00431C29">
            <w:pPr>
              <w:pStyle w:val="Body"/>
              <w:rPr>
                <w:i/>
              </w:rPr>
            </w:pPr>
            <w:r w:rsidRPr="00431C29">
              <w:rPr>
                <w:i/>
              </w:rPr>
              <w:t>[</w:t>
            </w:r>
            <w:r w:rsidRPr="00034455">
              <w:rPr>
                <w:highlight w:val="yellow"/>
              </w:rPr>
              <w:t>Insert details of Fee</w:t>
            </w:r>
            <w:r w:rsidR="00034455" w:rsidRPr="00034455">
              <w:rPr>
                <w:highlight w:val="yellow"/>
              </w:rPr>
              <w:t xml:space="preserve"> – note any capped fee]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Commencement Date;</w:t>
            </w:r>
          </w:p>
          <w:p w:rsidR="00320F8B" w:rsidRPr="00656752" w:rsidRDefault="00320F8B" w:rsidP="003D4419">
            <w:pPr>
              <w:pStyle w:val="Body"/>
              <w:jc w:val="left"/>
            </w:pPr>
          </w:p>
        </w:tc>
        <w:tc>
          <w:tcPr>
            <w:tcW w:w="3531" w:type="pct"/>
            <w:shd w:val="clear" w:color="auto" w:fill="auto"/>
          </w:tcPr>
          <w:p w:rsidR="00320F8B" w:rsidRPr="00B46A9C" w:rsidRDefault="00431C29" w:rsidP="003D4419">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lastRenderedPageBreak/>
              <w:t>Project term;</w:t>
            </w:r>
          </w:p>
          <w:p w:rsidR="00320F8B" w:rsidRPr="00656752" w:rsidRDefault="00320F8B" w:rsidP="003D4419">
            <w:pPr>
              <w:pStyle w:val="Body"/>
              <w:jc w:val="left"/>
            </w:pPr>
          </w:p>
        </w:tc>
        <w:tc>
          <w:tcPr>
            <w:tcW w:w="3531" w:type="pct"/>
            <w:shd w:val="clear" w:color="auto" w:fill="auto"/>
          </w:tcPr>
          <w:p w:rsidR="00320F8B" w:rsidRPr="00656752" w:rsidRDefault="00431C29" w:rsidP="003D4419">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Strategic KPIs applicable;</w:t>
            </w:r>
          </w:p>
          <w:p w:rsidR="00320F8B" w:rsidRPr="00656752" w:rsidRDefault="00320F8B" w:rsidP="003D4419">
            <w:pPr>
              <w:pStyle w:val="Body"/>
              <w:jc w:val="left"/>
            </w:pPr>
          </w:p>
        </w:tc>
        <w:tc>
          <w:tcPr>
            <w:tcW w:w="3531" w:type="pct"/>
            <w:shd w:val="clear" w:color="auto" w:fill="auto"/>
          </w:tcPr>
          <w:p w:rsidR="00320F8B" w:rsidRPr="00656752" w:rsidRDefault="00431C29" w:rsidP="00431C29">
            <w:pPr>
              <w:pStyle w:val="Body"/>
            </w:pPr>
            <w:r w:rsidRPr="00431C29">
              <w:t xml:space="preserve">As per KPIs set out in Schedule </w:t>
            </w:r>
            <w:r>
              <w:t>8</w:t>
            </w:r>
            <w:r w:rsidRPr="00431C29">
              <w:t xml:space="preserve"> of Framework Agreement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Confidential Information;</w:t>
            </w:r>
          </w:p>
        </w:tc>
        <w:tc>
          <w:tcPr>
            <w:tcW w:w="3531" w:type="pct"/>
            <w:shd w:val="clear" w:color="auto" w:fill="auto"/>
          </w:tcPr>
          <w:p w:rsidR="00320F8B" w:rsidRPr="00431C29" w:rsidRDefault="00320F8B" w:rsidP="003D4419">
            <w:pPr>
              <w:pStyle w:val="Body"/>
              <w:rPr>
                <w:i/>
              </w:rPr>
            </w:pPr>
            <w:r w:rsidRPr="00431C29">
              <w:rPr>
                <w:rFonts w:eastAsia="Malgun Gothic" w:hAnsi="Calibri"/>
                <w:bCs/>
                <w:i/>
              </w:rPr>
              <w:t>[Insert which information shall be deemed to be confidential information and the duration that such information shall be deemed to be confidential]</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bCs/>
              </w:rPr>
              <w:t>Warranty Requirements:</w:t>
            </w:r>
          </w:p>
        </w:tc>
        <w:tc>
          <w:tcPr>
            <w:tcW w:w="3531" w:type="pct"/>
            <w:shd w:val="clear" w:color="auto" w:fill="auto"/>
          </w:tcPr>
          <w:p w:rsidR="00431C29" w:rsidRDefault="00431C29" w:rsidP="00431C29">
            <w:pPr>
              <w:pStyle w:val="Body"/>
            </w:pPr>
            <w:r>
              <w:t>As per Framework Agreement and Appointment Terms.</w:t>
            </w:r>
          </w:p>
          <w:p w:rsidR="00320F8B" w:rsidRPr="00431C29" w:rsidRDefault="00431C29" w:rsidP="00431C29">
            <w:pPr>
              <w:pStyle w:val="Body"/>
              <w:rPr>
                <w:i/>
              </w:rPr>
            </w:pPr>
            <w:r w:rsidRPr="003D4419">
              <w:rPr>
                <w:i/>
                <w:highlight w:val="yellow"/>
              </w:rPr>
              <w:t>PM to consider if any changes are required</w:t>
            </w:r>
            <w:r w:rsidRPr="00431C29">
              <w:rPr>
                <w:i/>
              </w:rPr>
              <w:t>.</w:t>
            </w:r>
          </w:p>
        </w:tc>
      </w:tr>
      <w:tr w:rsidR="00320F8B" w:rsidRPr="00656752" w:rsidTr="003D4419">
        <w:tc>
          <w:tcPr>
            <w:tcW w:w="1469" w:type="pct"/>
            <w:shd w:val="clear" w:color="auto" w:fill="auto"/>
          </w:tcPr>
          <w:p w:rsidR="00320F8B" w:rsidRPr="00656752" w:rsidRDefault="00320F8B" w:rsidP="003D4419">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3D4419">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724"/>
      </w:tblGrid>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Client's Representative:</w:t>
            </w:r>
          </w:p>
        </w:tc>
        <w:tc>
          <w:tcPr>
            <w:tcW w:w="6724" w:type="dxa"/>
            <w:shd w:val="clear" w:color="auto" w:fill="auto"/>
          </w:tcPr>
          <w:p w:rsidR="00320F8B" w:rsidRPr="00656752" w:rsidRDefault="00320F8B" w:rsidP="003D4419">
            <w:pPr>
              <w:pStyle w:val="Body"/>
            </w:pPr>
            <w:r w:rsidRPr="00656752">
              <w:t xml:space="preserve">The Client's Representative is [ </w:t>
            </w:r>
            <w:r w:rsidR="00431C29" w:rsidRPr="00431C29">
              <w:rPr>
                <w:highlight w:val="yellow"/>
              </w:rPr>
              <w:t>PM</w:t>
            </w:r>
            <w:r w:rsidRPr="00656752">
              <w:t xml:space="preserve">  ]</w:t>
            </w:r>
            <w:r>
              <w:t>.</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724" w:type="dxa"/>
            <w:shd w:val="clear" w:color="auto" w:fill="auto"/>
          </w:tcPr>
          <w:p w:rsidR="00320F8B" w:rsidRPr="00656752" w:rsidRDefault="00320F8B" w:rsidP="00DE24CE">
            <w:pPr>
              <w:pStyle w:val="Body"/>
            </w:pPr>
            <w:r w:rsidRPr="00656752">
              <w:t xml:space="preserve">The amount of third party liability cover required is </w:t>
            </w:r>
            <w:r w:rsidR="00A85BAF">
              <w:t>£5,000,000 each and every claim</w:t>
            </w:r>
            <w:r w:rsidRPr="00656752">
              <w:t xml:space="preserve"> (Clause </w:t>
            </w:r>
            <w:r w:rsidRPr="00656752">
              <w:rPr>
                <w:cs/>
              </w:rPr>
              <w:fldChar w:fldCharType="begin"/>
            </w:r>
            <w:r w:rsidRPr="00656752">
              <w:instrText xml:space="preserve"> REF _Ref24705375 \r \h </w:instrText>
            </w:r>
            <w:r>
              <w:instrText xml:space="preserve"> \* MERGEFORMAT </w:instrText>
            </w:r>
            <w:r w:rsidRPr="00656752">
              <w:rPr>
                <w:cs/>
              </w:rPr>
            </w:r>
            <w:r w:rsidRPr="00656752">
              <w:rPr>
                <w:cs/>
              </w:rPr>
              <w:fldChar w:fldCharType="separate"/>
            </w:r>
            <w:r>
              <w:t>13.2.</w:t>
            </w:r>
            <w:r w:rsidRPr="00656752">
              <w:rPr>
                <w:cs/>
              </w:rPr>
              <w:fldChar w:fldCharType="end"/>
            </w:r>
            <w:r w:rsidR="00DE24CE">
              <w:rPr>
                <w:cs/>
              </w:rPr>
              <w:t>3</w:t>
            </w:r>
            <w:r w:rsidRPr="00656752">
              <w:t>).</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Fee Payment Schedule</w:t>
            </w:r>
          </w:p>
        </w:tc>
        <w:tc>
          <w:tcPr>
            <w:tcW w:w="6724" w:type="dxa"/>
            <w:shd w:val="clear" w:color="auto" w:fill="auto"/>
          </w:tcPr>
          <w:p w:rsidR="00320F8B" w:rsidRPr="00656752" w:rsidRDefault="00320F8B" w:rsidP="003D4419">
            <w:pPr>
              <w:pStyle w:val="Body"/>
            </w:pPr>
            <w:r w:rsidRPr="00656752">
              <w:t>The Fee Payment Schedule is as follows:</w:t>
            </w:r>
          </w:p>
          <w:tbl>
            <w:tblPr>
              <w:tblW w:w="14060" w:type="dxa"/>
              <w:tblLayout w:type="fixed"/>
              <w:tblLook w:val="04A0" w:firstRow="1" w:lastRow="0" w:firstColumn="1" w:lastColumn="0" w:noHBand="0" w:noVBand="1"/>
            </w:tblPr>
            <w:tblGrid>
              <w:gridCol w:w="14060"/>
            </w:tblGrid>
            <w:tr w:rsidR="00A7761D" w:rsidRPr="00A7761D" w:rsidTr="00021911">
              <w:trPr>
                <w:trHeight w:val="300"/>
              </w:trPr>
              <w:tc>
                <w:tcPr>
                  <w:tcW w:w="14060" w:type="dxa"/>
                  <w:tcBorders>
                    <w:top w:val="nil"/>
                    <w:left w:val="nil"/>
                    <w:bottom w:val="nil"/>
                    <w:right w:val="nil"/>
                  </w:tcBorders>
                  <w:shd w:val="clear" w:color="000000" w:fill="FFFFFF"/>
                  <w:noWrap/>
                  <w:vAlign w:val="center"/>
                  <w:hideMark/>
                </w:tcPr>
                <w:p w:rsidR="00A7761D" w:rsidRPr="00A7761D" w:rsidRDefault="00A7761D" w:rsidP="00A7761D">
                  <w:pPr>
                    <w:pStyle w:val="ListParagraph"/>
                    <w:numPr>
                      <w:ilvl w:val="0"/>
                      <w:numId w:val="22"/>
                    </w:numPr>
                    <w:adjustRightInd/>
                    <w:spacing w:line="240" w:lineRule="auto"/>
                    <w:rPr>
                      <w:rFonts w:ascii="Calibri" w:eastAsia="Times New Roman" w:hAnsi="Calibri" w:cs="Times New Roman"/>
                      <w:color w:val="000000"/>
                      <w:sz w:val="20"/>
                      <w:szCs w:val="20"/>
                    </w:rPr>
                  </w:pPr>
                  <w:r w:rsidRPr="00A7761D">
                    <w:rPr>
                      <w:rFonts w:ascii="Calibri" w:eastAsia="Times New Roman" w:hAnsi="Calibri" w:cs="Times New Roman"/>
                      <w:color w:val="000000"/>
                      <w:sz w:val="20"/>
                      <w:szCs w:val="20"/>
                    </w:rPr>
                    <w:t>25% upon achieving of planning permission</w:t>
                  </w:r>
                </w:p>
              </w:tc>
            </w:tr>
            <w:tr w:rsidR="00A7761D" w:rsidRPr="00A7761D" w:rsidTr="00021911">
              <w:trPr>
                <w:trHeight w:val="300"/>
              </w:trPr>
              <w:tc>
                <w:tcPr>
                  <w:tcW w:w="14060" w:type="dxa"/>
                  <w:tcBorders>
                    <w:top w:val="nil"/>
                    <w:left w:val="nil"/>
                    <w:bottom w:val="nil"/>
                    <w:right w:val="nil"/>
                  </w:tcBorders>
                  <w:shd w:val="clear" w:color="000000" w:fill="FFFFFF"/>
                  <w:noWrap/>
                  <w:vAlign w:val="center"/>
                  <w:hideMark/>
                </w:tcPr>
                <w:p w:rsidR="00A7761D" w:rsidRPr="00A7761D" w:rsidRDefault="00A7761D" w:rsidP="00A7761D">
                  <w:pPr>
                    <w:adjustRightInd/>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ii.             </w:t>
                  </w:r>
                  <w:r w:rsidRPr="00A7761D">
                    <w:rPr>
                      <w:rFonts w:ascii="Calibri" w:eastAsia="Times New Roman" w:hAnsi="Calibri" w:cs="Times New Roman"/>
                      <w:color w:val="000000"/>
                      <w:sz w:val="20"/>
                      <w:szCs w:val="20"/>
                    </w:rPr>
                    <w:t>20% tender acceptance</w:t>
                  </w:r>
                </w:p>
              </w:tc>
            </w:tr>
            <w:tr w:rsidR="00A7761D" w:rsidRPr="00A7761D" w:rsidTr="00021911">
              <w:trPr>
                <w:trHeight w:val="300"/>
              </w:trPr>
              <w:tc>
                <w:tcPr>
                  <w:tcW w:w="14060" w:type="dxa"/>
                  <w:tcBorders>
                    <w:top w:val="nil"/>
                    <w:left w:val="nil"/>
                    <w:bottom w:val="nil"/>
                    <w:right w:val="nil"/>
                  </w:tcBorders>
                  <w:shd w:val="clear" w:color="000000" w:fill="FFFFFF"/>
                  <w:noWrap/>
                  <w:vAlign w:val="center"/>
                  <w:hideMark/>
                </w:tcPr>
                <w:p w:rsidR="00021911" w:rsidRDefault="00A7761D" w:rsidP="00A7761D">
                  <w:pPr>
                    <w:pStyle w:val="ListParagraph"/>
                    <w:numPr>
                      <w:ilvl w:val="0"/>
                      <w:numId w:val="22"/>
                    </w:numPr>
                    <w:adjustRightInd/>
                    <w:spacing w:line="240" w:lineRule="auto"/>
                    <w:rPr>
                      <w:rFonts w:ascii="Calibri" w:eastAsia="Times New Roman" w:hAnsi="Calibri" w:cs="Times New Roman"/>
                      <w:color w:val="000000"/>
                      <w:sz w:val="20"/>
                      <w:szCs w:val="20"/>
                    </w:rPr>
                  </w:pPr>
                  <w:r w:rsidRPr="00A7761D">
                    <w:rPr>
                      <w:rFonts w:ascii="Calibri" w:eastAsia="Times New Roman" w:hAnsi="Calibri" w:cs="Times New Roman"/>
                      <w:color w:val="000000"/>
                      <w:sz w:val="20"/>
                      <w:szCs w:val="20"/>
                    </w:rPr>
                    <w:t>45% payable in quarterly instalments throughout the contract</w:t>
                  </w:r>
                </w:p>
                <w:p w:rsidR="00A7761D" w:rsidRPr="00A7761D" w:rsidRDefault="00A7761D" w:rsidP="00021911">
                  <w:pPr>
                    <w:pStyle w:val="ListParagraph"/>
                    <w:adjustRightInd/>
                    <w:spacing w:line="240" w:lineRule="auto"/>
                    <w:ind w:left="1125"/>
                    <w:rPr>
                      <w:rFonts w:ascii="Calibri" w:eastAsia="Times New Roman" w:hAnsi="Calibri" w:cs="Times New Roman"/>
                      <w:color w:val="000000"/>
                      <w:sz w:val="20"/>
                      <w:szCs w:val="20"/>
                    </w:rPr>
                  </w:pPr>
                  <w:bookmarkStart w:id="6" w:name="_GoBack"/>
                  <w:bookmarkEnd w:id="6"/>
                  <w:r w:rsidRPr="00A7761D">
                    <w:rPr>
                      <w:rFonts w:ascii="Calibri" w:eastAsia="Times New Roman" w:hAnsi="Calibri" w:cs="Times New Roman"/>
                      <w:color w:val="000000"/>
                      <w:sz w:val="20"/>
                      <w:szCs w:val="20"/>
                    </w:rPr>
                    <w:t xml:space="preserve"> period</w:t>
                  </w:r>
                </w:p>
              </w:tc>
            </w:tr>
            <w:tr w:rsidR="00A7761D" w:rsidRPr="00A7761D" w:rsidTr="00021911">
              <w:trPr>
                <w:trHeight w:val="300"/>
              </w:trPr>
              <w:tc>
                <w:tcPr>
                  <w:tcW w:w="14060" w:type="dxa"/>
                  <w:tcBorders>
                    <w:top w:val="nil"/>
                    <w:left w:val="nil"/>
                    <w:bottom w:val="nil"/>
                    <w:right w:val="nil"/>
                  </w:tcBorders>
                  <w:shd w:val="clear" w:color="000000" w:fill="FFFFFF"/>
                  <w:noWrap/>
                  <w:vAlign w:val="center"/>
                  <w:hideMark/>
                </w:tcPr>
                <w:p w:rsidR="00A7761D" w:rsidRPr="00A7761D" w:rsidRDefault="00A7761D" w:rsidP="00A7761D">
                  <w:pPr>
                    <w:adjustRightInd/>
                    <w:spacing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         </w:t>
                  </w:r>
                  <w:proofErr w:type="spellStart"/>
                  <w:r>
                    <w:rPr>
                      <w:rFonts w:ascii="Calibri" w:eastAsia="Times New Roman" w:hAnsi="Calibri" w:cs="Times New Roman"/>
                      <w:color w:val="000000"/>
                      <w:sz w:val="20"/>
                      <w:szCs w:val="20"/>
                    </w:rPr>
                    <w:t>iiii</w:t>
                  </w:r>
                  <w:proofErr w:type="spellEnd"/>
                  <w:r>
                    <w:rPr>
                      <w:rFonts w:ascii="Calibri" w:eastAsia="Times New Roman" w:hAnsi="Calibri" w:cs="Times New Roman"/>
                      <w:color w:val="000000"/>
                      <w:sz w:val="20"/>
                      <w:szCs w:val="20"/>
                    </w:rPr>
                    <w:t xml:space="preserve">.           </w:t>
                  </w:r>
                  <w:r w:rsidRPr="00A7761D">
                    <w:rPr>
                      <w:rFonts w:ascii="Calibri" w:eastAsia="Times New Roman" w:hAnsi="Calibri" w:cs="Times New Roman"/>
                      <w:color w:val="000000"/>
                      <w:sz w:val="20"/>
                      <w:szCs w:val="20"/>
                    </w:rPr>
                    <w:t xml:space="preserve">10% on agreement of Final Account </w:t>
                  </w:r>
                </w:p>
              </w:tc>
            </w:tr>
          </w:tbl>
          <w:p w:rsidR="00320F8B" w:rsidRPr="00656752" w:rsidRDefault="00DE24CE" w:rsidP="00DE24CE">
            <w:pPr>
              <w:pStyle w:val="Body"/>
            </w:pPr>
            <w:r>
              <w:tab/>
            </w:r>
            <w:r>
              <w:tab/>
            </w:r>
            <w:r>
              <w:tab/>
            </w:r>
            <w:r>
              <w:tab/>
            </w:r>
            <w:r>
              <w:tab/>
            </w:r>
            <w:r>
              <w:tab/>
            </w:r>
            <w:r>
              <w:tab/>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Reimbursable Expenses:</w:t>
            </w:r>
          </w:p>
        </w:tc>
        <w:tc>
          <w:tcPr>
            <w:tcW w:w="6724" w:type="dxa"/>
            <w:shd w:val="clear" w:color="auto" w:fill="auto"/>
          </w:tcPr>
          <w:p w:rsidR="00320F8B" w:rsidRPr="00656752" w:rsidRDefault="00320F8B" w:rsidP="00800226">
            <w:pPr>
              <w:pStyle w:val="Body"/>
            </w:pPr>
            <w:r w:rsidRPr="00656752">
              <w:t xml:space="preserve">Reimbursable expenses etc. (Clause </w:t>
            </w:r>
            <w:r w:rsidRPr="00656752">
              <w:rPr>
                <w:cs/>
              </w:rPr>
              <w:fldChar w:fldCharType="begin"/>
            </w:r>
            <w:r w:rsidRPr="00656752">
              <w:instrText xml:space="preserve"> REF _Ref24705385 \r \h </w:instrText>
            </w:r>
            <w:r>
              <w:instrText xml:space="preserve"> \* MERGEFORMAT </w:instrText>
            </w:r>
            <w:r w:rsidRPr="00656752">
              <w:rPr>
                <w:cs/>
              </w:rPr>
            </w:r>
            <w:r w:rsidRPr="00656752">
              <w:rPr>
                <w:cs/>
              </w:rPr>
              <w:fldChar w:fldCharType="separate"/>
            </w:r>
            <w:r>
              <w:t>12.2</w:t>
            </w:r>
            <w:r w:rsidRPr="00656752">
              <w:rPr>
                <w:cs/>
              </w:rPr>
              <w:fldChar w:fldCharType="end"/>
            </w:r>
            <w:r w:rsidRPr="00656752">
              <w:t xml:space="preserve">) </w:t>
            </w:r>
            <w:r w:rsidR="00800226">
              <w:t>are included in the fee above.</w:t>
            </w:r>
            <w:r w:rsidRPr="00656752">
              <w:t xml:space="preserve"> </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Additional Services:</w:t>
            </w:r>
          </w:p>
        </w:tc>
        <w:tc>
          <w:tcPr>
            <w:tcW w:w="6724" w:type="dxa"/>
            <w:shd w:val="clear" w:color="auto" w:fill="auto"/>
          </w:tcPr>
          <w:p w:rsidR="00320F8B" w:rsidRPr="00656752" w:rsidRDefault="00320F8B" w:rsidP="00800226">
            <w:pPr>
              <w:pStyle w:val="Body"/>
            </w:pPr>
            <w:r w:rsidRPr="00656752">
              <w:t>Hourly rates for Additional Services are</w:t>
            </w:r>
            <w:r w:rsidR="00800226">
              <w:t xml:space="preserve"> to be agreed if required.</w:t>
            </w:r>
          </w:p>
        </w:tc>
      </w:tr>
      <w:tr w:rsidR="00320F8B" w:rsidRPr="00034455" w:rsidTr="00021911">
        <w:tc>
          <w:tcPr>
            <w:tcW w:w="2518" w:type="dxa"/>
            <w:shd w:val="clear" w:color="auto" w:fill="auto"/>
          </w:tcPr>
          <w:p w:rsidR="00320F8B" w:rsidRPr="00656752" w:rsidRDefault="00320F8B" w:rsidP="003D4419">
            <w:pPr>
              <w:pStyle w:val="Body"/>
              <w:jc w:val="left"/>
              <w:rPr>
                <w:rFonts w:eastAsia="Malgun Gothic" w:hAnsi="Calibri"/>
                <w:b/>
                <w:bCs/>
              </w:rPr>
            </w:pPr>
            <w:r w:rsidRPr="00656752">
              <w:rPr>
                <w:rFonts w:eastAsia="Malgun Gothic" w:hAnsi="Calibri"/>
                <w:b/>
                <w:bCs/>
              </w:rPr>
              <w:t>Consultant Personnel:</w:t>
            </w:r>
          </w:p>
        </w:tc>
        <w:tc>
          <w:tcPr>
            <w:tcW w:w="6724" w:type="dxa"/>
            <w:shd w:val="clear" w:color="auto" w:fill="auto"/>
          </w:tcPr>
          <w:p w:rsidR="00320F8B" w:rsidRPr="00034455" w:rsidRDefault="00320F8B" w:rsidP="003D4419">
            <w:pPr>
              <w:pStyle w:val="Body"/>
            </w:pPr>
            <w:r w:rsidRPr="00034455">
              <w:t xml:space="preserve">The person referred to in Clause </w:t>
            </w:r>
            <w:r w:rsidRPr="00034455">
              <w:rPr>
                <w:cs/>
              </w:rPr>
              <w:fldChar w:fldCharType="begin"/>
            </w:r>
            <w:r w:rsidRPr="00034455">
              <w:instrText xml:space="preserve"> REF _Ref436845641 \r \h  \* MERGEFORMAT </w:instrText>
            </w:r>
            <w:r w:rsidRPr="00034455">
              <w:rPr>
                <w:cs/>
              </w:rPr>
            </w:r>
            <w:r w:rsidRPr="00034455">
              <w:rPr>
                <w:cs/>
              </w:rPr>
              <w:fldChar w:fldCharType="separate"/>
            </w:r>
            <w:r w:rsidRPr="00034455">
              <w:t>9.1</w:t>
            </w:r>
            <w:r w:rsidRPr="00034455">
              <w:rPr>
                <w:cs/>
              </w:rPr>
              <w:fldChar w:fldCharType="end"/>
            </w:r>
            <w:r w:rsidRPr="00034455">
              <w:t xml:space="preserve"> is [</w:t>
            </w:r>
            <w:r w:rsidR="00034455" w:rsidRPr="00034455">
              <w:rPr>
                <w:highlight w:val="yellow"/>
              </w:rPr>
              <w:t>This is the main contact named in the Framework Agreement</w:t>
            </w:r>
            <w:r w:rsidR="00034455" w:rsidRPr="00034455">
              <w:t xml:space="preserve"> </w:t>
            </w:r>
            <w:r w:rsidRPr="00034455">
              <w:t>].</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Key Personnel:</w:t>
            </w:r>
          </w:p>
        </w:tc>
        <w:tc>
          <w:tcPr>
            <w:tcW w:w="6724" w:type="dxa"/>
            <w:shd w:val="clear" w:color="auto" w:fill="auto"/>
          </w:tcPr>
          <w:p w:rsidR="00320F8B" w:rsidRPr="00034455" w:rsidRDefault="00320F8B" w:rsidP="003D4419">
            <w:pPr>
              <w:pStyle w:val="Body"/>
            </w:pPr>
            <w:r w:rsidRPr="00656752">
              <w:t xml:space="preserve">The key person(s) referred to in Clause </w:t>
            </w:r>
            <w:r w:rsidRPr="00656752">
              <w:rPr>
                <w:cs/>
              </w:rPr>
              <w:fldChar w:fldCharType="begin"/>
            </w:r>
            <w:r w:rsidRPr="00656752">
              <w:instrText xml:space="preserve"> REF _Ref24705409 \r \h </w:instrText>
            </w:r>
            <w:r>
              <w:instrText xml:space="preserve"> \* MERGEFORMAT </w:instrText>
            </w:r>
            <w:r w:rsidRPr="00656752">
              <w:rPr>
                <w:cs/>
              </w:rPr>
            </w:r>
            <w:r w:rsidRPr="00656752">
              <w:rPr>
                <w:cs/>
              </w:rPr>
              <w:fldChar w:fldCharType="separate"/>
            </w:r>
            <w:r>
              <w:t>9.2</w:t>
            </w:r>
            <w:r w:rsidRPr="00656752">
              <w:rPr>
                <w:cs/>
              </w:rPr>
              <w:fldChar w:fldCharType="end"/>
            </w:r>
            <w:r w:rsidRPr="00656752">
              <w:t xml:space="preserve"> are:</w:t>
            </w:r>
            <w:r w:rsidR="00034455">
              <w:t xml:space="preserve"> [</w:t>
            </w:r>
            <w:r w:rsidR="00034455" w:rsidRPr="00034455">
              <w:rPr>
                <w:highlight w:val="yellow"/>
              </w:rPr>
              <w:t>This is the consultant working on the scheme</w:t>
            </w:r>
            <w:r w:rsidR="00034455" w:rsidRPr="00034455">
              <w:t>]</w:t>
            </w:r>
          </w:p>
          <w:p w:rsidR="00320F8B" w:rsidRPr="00656752" w:rsidRDefault="00320F8B" w:rsidP="003D4419">
            <w:pPr>
              <w:pStyle w:val="Body"/>
            </w:pPr>
            <w:r w:rsidRPr="00656752">
              <w:lastRenderedPageBreak/>
              <w:t xml:space="preserve">[ </w:t>
            </w:r>
            <w:r w:rsidRPr="00656752">
              <w:tab/>
            </w:r>
            <w:r w:rsidRPr="00656752">
              <w:tab/>
            </w:r>
            <w:r w:rsidRPr="00656752">
              <w:tab/>
              <w:t>];[</w:t>
            </w:r>
            <w:r w:rsidRPr="00656752">
              <w:tab/>
            </w:r>
            <w:r w:rsidRPr="00656752">
              <w:tab/>
            </w:r>
            <w:r w:rsidRPr="00656752">
              <w:tab/>
              <w:t>].</w:t>
            </w:r>
          </w:p>
          <w:p w:rsidR="00320F8B" w:rsidRPr="00656752" w:rsidRDefault="00320F8B" w:rsidP="003D4419">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Copy documentation:</w:t>
            </w:r>
          </w:p>
        </w:tc>
        <w:tc>
          <w:tcPr>
            <w:tcW w:w="6724" w:type="dxa"/>
            <w:shd w:val="clear" w:color="auto" w:fill="auto"/>
          </w:tcPr>
          <w:p w:rsidR="00320F8B" w:rsidRPr="00656752" w:rsidRDefault="00320F8B" w:rsidP="00034455">
            <w:pPr>
              <w:pStyle w:val="Body"/>
            </w:pPr>
            <w:r w:rsidRPr="00656752">
              <w:t xml:space="preserve">The number of copy documents required is </w:t>
            </w:r>
            <w:r w:rsidR="00034455" w:rsidRPr="00034455">
              <w:rPr>
                <w:highlight w:val="yellow"/>
              </w:rPr>
              <w:t>two</w:t>
            </w:r>
            <w:r w:rsidRPr="00656752">
              <w:t xml:space="preserve"> (in accordance with </w:t>
            </w:r>
            <w:bookmarkStart w:id="7" w:name="_9kR3WTr2CC5CELChrAvBQ"/>
            <w:r w:rsidRPr="00656752">
              <w:t xml:space="preserve">Clause </w:t>
            </w:r>
            <w:r w:rsidRPr="00656752">
              <w:rPr>
                <w:cs/>
              </w:rPr>
              <w:t>‎</w:t>
            </w:r>
            <w:r w:rsidRPr="00656752">
              <w:t>7.5</w:t>
            </w:r>
            <w:bookmarkEnd w:id="7"/>
            <w:r w:rsidRPr="00656752">
              <w:t>)</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Client's address for service:</w:t>
            </w:r>
          </w:p>
        </w:tc>
        <w:tc>
          <w:tcPr>
            <w:tcW w:w="6724" w:type="dxa"/>
            <w:shd w:val="clear" w:color="auto" w:fill="auto"/>
          </w:tcPr>
          <w:p w:rsidR="00034455" w:rsidRDefault="00320F8B" w:rsidP="00034455">
            <w:pPr>
              <w:pStyle w:val="Body"/>
            </w:pPr>
            <w:r w:rsidRPr="00656752">
              <w:t xml:space="preserve">The Client's </w:t>
            </w:r>
            <w:r w:rsidR="00034455">
              <w:t>address, number and email  for service are as follows:</w:t>
            </w:r>
          </w:p>
          <w:p w:rsidR="00320F8B" w:rsidRPr="00656752" w:rsidRDefault="00034455" w:rsidP="00034455">
            <w:pPr>
              <w:pStyle w:val="Body"/>
            </w:pPr>
            <w:r>
              <w:t>Address:</w:t>
            </w:r>
            <w:r>
              <w:tab/>
              <w:t xml:space="preserve">[   </w:t>
            </w:r>
            <w:r w:rsidRPr="00034455">
              <w:rPr>
                <w:highlight w:val="yellow"/>
              </w:rPr>
              <w:t>Insert client address, number and email  for correspondence ]</w:t>
            </w:r>
          </w:p>
          <w:p w:rsidR="00320F8B" w:rsidRPr="00656752" w:rsidRDefault="00320F8B" w:rsidP="003D4419">
            <w:pPr>
              <w:pStyle w:val="Body"/>
            </w:pPr>
            <w:r w:rsidRPr="00656752">
              <w:t>or such other address or number for service as the Client may have previously notified to the Consultant.</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 xml:space="preserve">Consultant's address for service: </w:t>
            </w:r>
          </w:p>
        </w:tc>
        <w:tc>
          <w:tcPr>
            <w:tcW w:w="6724" w:type="dxa"/>
            <w:shd w:val="clear" w:color="auto" w:fill="auto"/>
          </w:tcPr>
          <w:p w:rsidR="00320F8B" w:rsidRPr="00656752" w:rsidRDefault="00320F8B" w:rsidP="003D4419">
            <w:pPr>
              <w:pStyle w:val="Body"/>
            </w:pPr>
            <w:r w:rsidRPr="00656752">
              <w:t>The Consultant's address</w:t>
            </w:r>
            <w:r w:rsidR="00034455">
              <w:t xml:space="preserve">, </w:t>
            </w:r>
            <w:r w:rsidRPr="00656752">
              <w:t>number</w:t>
            </w:r>
            <w:r w:rsidR="00034455">
              <w:t xml:space="preserve"> and email</w:t>
            </w:r>
            <w:r w:rsidR="00034455" w:rsidRPr="00656752">
              <w:t xml:space="preserve">  </w:t>
            </w:r>
            <w:r w:rsidRPr="00656752">
              <w:t>for service are as follows:</w:t>
            </w:r>
          </w:p>
          <w:p w:rsidR="00320F8B" w:rsidRPr="00656752" w:rsidRDefault="00320F8B" w:rsidP="003D4419">
            <w:pPr>
              <w:pStyle w:val="Body"/>
            </w:pPr>
            <w:r w:rsidRPr="00656752">
              <w:t>Address:</w:t>
            </w:r>
            <w:r w:rsidRPr="00656752">
              <w:tab/>
              <w:t xml:space="preserve">[   </w:t>
            </w:r>
            <w:r w:rsidR="00034455" w:rsidRPr="00034455">
              <w:rPr>
                <w:highlight w:val="yellow"/>
              </w:rPr>
              <w:t>Insert consultant  address</w:t>
            </w:r>
            <w:r w:rsidR="00034455">
              <w:rPr>
                <w:highlight w:val="yellow"/>
              </w:rPr>
              <w:t xml:space="preserve">, number and email </w:t>
            </w:r>
            <w:r w:rsidR="00034455" w:rsidRPr="00034455">
              <w:rPr>
                <w:highlight w:val="yellow"/>
              </w:rPr>
              <w:t xml:space="preserve"> for correspondence</w:t>
            </w:r>
            <w:r w:rsidRPr="00034455">
              <w:rPr>
                <w:highlight w:val="yellow"/>
              </w:rPr>
              <w:t xml:space="preserve"> ]</w:t>
            </w:r>
          </w:p>
          <w:p w:rsidR="00320F8B" w:rsidRPr="00656752" w:rsidRDefault="00320F8B" w:rsidP="003D4419">
            <w:pPr>
              <w:pStyle w:val="Body"/>
            </w:pPr>
            <w:r w:rsidRPr="00656752">
              <w:t>or such other address or number for service as the Consultant may have previously notified to the Client.</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Other Consultants:</w:t>
            </w:r>
          </w:p>
        </w:tc>
        <w:tc>
          <w:tcPr>
            <w:tcW w:w="6724" w:type="dxa"/>
            <w:shd w:val="clear" w:color="auto" w:fill="auto"/>
          </w:tcPr>
          <w:p w:rsidR="00320F8B" w:rsidRPr="00656752" w:rsidRDefault="00034455" w:rsidP="003D4419">
            <w:pPr>
              <w:pStyle w:val="Body"/>
            </w:pPr>
            <w:r>
              <w:t>Architect</w:t>
            </w:r>
            <w:r>
              <w:tab/>
            </w:r>
            <w:r>
              <w:tab/>
              <w:t>-</w:t>
            </w:r>
            <w:r w:rsidR="00320F8B" w:rsidRPr="00656752">
              <w:t xml:space="preserve">[ </w:t>
            </w:r>
            <w:r w:rsidRPr="003D4419">
              <w:rPr>
                <w:highlight w:val="yellow"/>
              </w:rPr>
              <w:t>Insert name of consultants</w:t>
            </w:r>
            <w:r w:rsidR="003D4419" w:rsidRPr="003D4419">
              <w:rPr>
                <w:highlight w:val="yellow"/>
              </w:rPr>
              <w:t xml:space="preserve"> or NA</w:t>
            </w:r>
            <w:r w:rsidR="00320F8B" w:rsidRPr="00656752">
              <w:t xml:space="preserve"> ]</w:t>
            </w:r>
          </w:p>
          <w:p w:rsidR="00320F8B" w:rsidRPr="00656752" w:rsidRDefault="00034455" w:rsidP="003D4419">
            <w:pPr>
              <w:pStyle w:val="Body"/>
            </w:pPr>
            <w:r>
              <w:t xml:space="preserve">Principal Designer </w:t>
            </w:r>
            <w:r>
              <w:tab/>
              <w:t>-</w:t>
            </w:r>
            <w:r w:rsidR="00320F8B" w:rsidRPr="00656752">
              <w:t xml:space="preserve">[ </w:t>
            </w:r>
            <w:r>
              <w:t xml:space="preserve">  </w:t>
            </w:r>
            <w:r w:rsidR="00320F8B" w:rsidRPr="00656752">
              <w:t xml:space="preserve"> ]</w:t>
            </w:r>
          </w:p>
          <w:p w:rsidR="00320F8B" w:rsidRPr="00656752" w:rsidRDefault="00320F8B" w:rsidP="003D4419">
            <w:pPr>
              <w:pStyle w:val="Body"/>
            </w:pPr>
            <w:r w:rsidRPr="00656752">
              <w:t xml:space="preserve">Planning Consultant  </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Building S</w:t>
            </w:r>
            <w:r w:rsidR="00034455">
              <w:t>urveyor        -</w:t>
            </w:r>
            <w:r w:rsidRPr="00656752">
              <w:t xml:space="preserve">[ </w:t>
            </w:r>
            <w:r w:rsidR="00034455">
              <w:t xml:space="preserve">   </w:t>
            </w:r>
            <w:r w:rsidRPr="00656752">
              <w:t xml:space="preserve"> ]</w:t>
            </w:r>
          </w:p>
          <w:p w:rsidR="00320F8B" w:rsidRPr="00656752" w:rsidRDefault="00320F8B" w:rsidP="003D4419">
            <w:pPr>
              <w:pStyle w:val="Body"/>
            </w:pPr>
            <w:r w:rsidRPr="00656752">
              <w:t>Employers Agent</w:t>
            </w:r>
            <w:r w:rsidR="00034455">
              <w:t xml:space="preserve">         </w:t>
            </w:r>
            <w:r w:rsidRPr="00656752">
              <w:t xml:space="preserve">-[ </w:t>
            </w:r>
            <w:r w:rsidR="00034455">
              <w:t xml:space="preserve">   </w:t>
            </w:r>
            <w:r w:rsidRPr="00656752">
              <w:t xml:space="preserve"> ]</w:t>
            </w:r>
          </w:p>
          <w:p w:rsidR="00320F8B" w:rsidRPr="00656752" w:rsidRDefault="00320F8B" w:rsidP="003D4419">
            <w:pPr>
              <w:pStyle w:val="Body"/>
            </w:pPr>
            <w:r w:rsidRPr="00656752">
              <w:t xml:space="preserve">Clerk of Works </w:t>
            </w:r>
            <w:r w:rsidRPr="00656752">
              <w:tab/>
              <w:t xml:space="preserve">           -</w:t>
            </w:r>
            <w:r w:rsidRPr="00656752">
              <w:tab/>
              <w:t xml:space="preserve">[ </w:t>
            </w:r>
            <w:r w:rsidR="00034455">
              <w:t xml:space="preserve">   </w:t>
            </w:r>
            <w:r w:rsidRPr="00656752">
              <w:t xml:space="preserve"> ]</w:t>
            </w:r>
          </w:p>
          <w:p w:rsidR="00320F8B" w:rsidRPr="00656752" w:rsidRDefault="00320F8B" w:rsidP="003D4419">
            <w:pPr>
              <w:pStyle w:val="Body"/>
            </w:pPr>
            <w:r w:rsidRPr="00656752">
              <w:t>Purchasers Agent</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Fire Consultant</w:t>
            </w:r>
            <w:r w:rsidRPr="00656752">
              <w:tab/>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Approved Inspector</w:t>
            </w:r>
            <w:r w:rsidR="00034455">
              <w:t xml:space="preserve">    </w:t>
            </w:r>
            <w:r w:rsidRPr="00656752">
              <w:t>-</w:t>
            </w:r>
            <w:r w:rsidRPr="00656752">
              <w:tab/>
              <w:t xml:space="preserve">[ </w:t>
            </w:r>
            <w:r w:rsidR="00034455">
              <w:t xml:space="preserve">   </w:t>
            </w:r>
            <w:r w:rsidRPr="00656752">
              <w:t xml:space="preserve"> ]</w:t>
            </w:r>
          </w:p>
          <w:p w:rsidR="003D4419" w:rsidRDefault="00320F8B" w:rsidP="003D4419">
            <w:pPr>
              <w:pStyle w:val="Body"/>
            </w:pPr>
            <w:r w:rsidRPr="00656752">
              <w:t>Structural Engineers</w:t>
            </w:r>
            <w:r w:rsidR="00034455">
              <w:t xml:space="preserve">   </w:t>
            </w:r>
            <w:r w:rsidRPr="00656752">
              <w:t>-</w:t>
            </w:r>
            <w:r w:rsidRPr="00656752">
              <w:tab/>
              <w:t xml:space="preserve">[ </w:t>
            </w:r>
            <w:r w:rsidR="00034455">
              <w:t xml:space="preserve">   </w:t>
            </w:r>
            <w:r w:rsidRPr="00656752">
              <w:t xml:space="preserve"> ]</w:t>
            </w:r>
          </w:p>
          <w:p w:rsidR="00320F8B" w:rsidRPr="00656752" w:rsidRDefault="00320F8B" w:rsidP="003D4419">
            <w:pPr>
              <w:pStyle w:val="Body"/>
            </w:pPr>
            <w:r w:rsidRPr="00656752">
              <w:t xml:space="preserve">Site Investigation Services </w:t>
            </w:r>
            <w:r w:rsidR="00034455">
              <w:t>–</w:t>
            </w:r>
            <w:r w:rsidRPr="00656752">
              <w:t xml:space="preserve"> </w:t>
            </w:r>
            <w:r w:rsidR="00034455">
              <w:t xml:space="preserve">[ </w:t>
            </w:r>
            <w:r w:rsidRPr="00656752">
              <w:t xml:space="preserve">    ]</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Materials:</w:t>
            </w:r>
          </w:p>
        </w:tc>
        <w:tc>
          <w:tcPr>
            <w:tcW w:w="6724" w:type="dxa"/>
            <w:shd w:val="clear" w:color="auto" w:fill="auto"/>
          </w:tcPr>
          <w:p w:rsidR="00320F8B" w:rsidRPr="00656752" w:rsidRDefault="00320F8B" w:rsidP="003D4419">
            <w:pPr>
              <w:pStyle w:val="Body"/>
            </w:pPr>
            <w:r w:rsidRPr="00656752">
              <w:t>The following materials are not to be specified, authorised for use and/or used in the Project:</w:t>
            </w:r>
          </w:p>
          <w:p w:rsidR="00320F8B" w:rsidRPr="00656752" w:rsidRDefault="00320F8B" w:rsidP="003D4419">
            <w:pPr>
              <w:pStyle w:val="Body"/>
            </w:pPr>
            <w:r w:rsidRPr="00656752">
              <w:lastRenderedPageBreak/>
              <w:t xml:space="preserve">[ </w:t>
            </w:r>
            <w:r w:rsidR="003D4419" w:rsidRPr="003D4419">
              <w:rPr>
                <w:highlight w:val="yellow"/>
              </w:rPr>
              <w:t>Insert any prohibited materials  or NA</w:t>
            </w:r>
            <w:r w:rsidR="003D4419">
              <w:t>]</w:t>
            </w:r>
            <w:r w:rsidRPr="00656752">
              <w:t xml:space="preserve">   </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lastRenderedPageBreak/>
              <w:t>Preliminary Appointment Details:</w:t>
            </w:r>
          </w:p>
        </w:tc>
        <w:tc>
          <w:tcPr>
            <w:tcW w:w="6724" w:type="dxa"/>
            <w:shd w:val="clear" w:color="auto" w:fill="auto"/>
          </w:tcPr>
          <w:p w:rsidR="00320F8B" w:rsidRPr="00656752" w:rsidRDefault="00320F8B" w:rsidP="00B46A9C">
            <w:pPr>
              <w:pStyle w:val="Body"/>
            </w:pPr>
            <w:r w:rsidRPr="00656752">
              <w:t xml:space="preserve">Details of the Preliminary Appointment (if any) are </w:t>
            </w:r>
            <w:r w:rsidRPr="003D4419">
              <w:rPr>
                <w:highlight w:val="yellow"/>
              </w:rPr>
              <w:t>[none]</w:t>
            </w:r>
          </w:p>
        </w:tc>
      </w:tr>
      <w:tr w:rsidR="00320F8B" w:rsidRPr="00656752" w:rsidTr="00021911">
        <w:tc>
          <w:tcPr>
            <w:tcW w:w="2518" w:type="dxa"/>
            <w:shd w:val="clear" w:color="auto" w:fill="auto"/>
          </w:tcPr>
          <w:p w:rsidR="00320F8B" w:rsidRPr="00656752" w:rsidRDefault="00320F8B" w:rsidP="003D4419">
            <w:pPr>
              <w:pStyle w:val="Body"/>
              <w:jc w:val="left"/>
              <w:rPr>
                <w:rFonts w:eastAsia="Malgun Gothic" w:hAnsi="Calibri"/>
                <w:b/>
              </w:rPr>
            </w:pPr>
            <w:r w:rsidRPr="00656752">
              <w:rPr>
                <w:rFonts w:eastAsia="Malgun Gothic" w:hAnsi="Calibri"/>
                <w:b/>
              </w:rPr>
              <w:t>Sub-Consultant Details:</w:t>
            </w:r>
          </w:p>
        </w:tc>
        <w:tc>
          <w:tcPr>
            <w:tcW w:w="6724" w:type="dxa"/>
            <w:shd w:val="clear" w:color="auto" w:fill="auto"/>
          </w:tcPr>
          <w:p w:rsidR="00320F8B" w:rsidRPr="00656752" w:rsidRDefault="00320F8B" w:rsidP="003D4419">
            <w:pPr>
              <w:pStyle w:val="Body"/>
            </w:pPr>
            <w:r w:rsidRPr="00656752">
              <w:rPr>
                <w:rStyle w:val="NoHeading1Text"/>
              </w:rPr>
              <w:t>Details of sub consultants (</w:t>
            </w:r>
            <w:bookmarkStart w:id="8" w:name="_9kR3WTr2CC5CFMChrAv5M"/>
            <w:r w:rsidRPr="00656752">
              <w:rPr>
                <w:rStyle w:val="NoHeading1Text"/>
              </w:rPr>
              <w:t>C</w:t>
            </w:r>
            <w:bookmarkEnd w:id="8"/>
            <w:r>
              <w:rPr>
                <w:rStyle w:val="NoHeading1Text"/>
              </w:rPr>
              <w:t xml:space="preserve">lause </w:t>
            </w:r>
            <w:r w:rsidR="003D4419">
              <w:rPr>
                <w:rStyle w:val="NoHeading1Text"/>
              </w:rPr>
              <w:t>22</w:t>
            </w:r>
            <w:r>
              <w:rPr>
                <w:rStyle w:val="NoHeading1Text"/>
              </w:rPr>
              <w:fldChar w:fldCharType="begin"/>
            </w:r>
            <w:r>
              <w:rPr>
                <w:rStyle w:val="NoHeading1Text"/>
              </w:rPr>
              <w:instrText xml:space="preserve"> REF _Ref_ContractCompanion_9kb9Ur1AA \w \n \h \t \* MERGEFORMAT </w:instrText>
            </w:r>
            <w:r>
              <w:rPr>
                <w:rStyle w:val="NoHeading1Text"/>
              </w:rPr>
            </w:r>
            <w:r>
              <w:rPr>
                <w:rStyle w:val="NoHeading1Text"/>
              </w:rPr>
              <w:fldChar w:fldCharType="end"/>
            </w:r>
            <w:bookmarkStart w:id="9" w:name="_9kMHG5YVt5658EECEffvEM4AFxj3GFK404kwCVd"/>
            <w:bookmarkEnd w:id="9"/>
            <w:r w:rsidRPr="00656752">
              <w:rPr>
                <w:rStyle w:val="NoHeading1Text"/>
              </w:rPr>
              <w:t>) are : [</w:t>
            </w:r>
            <w:r w:rsidR="003D4419"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353E91" w:rsidRDefault="00353E91">
      <w:pPr>
        <w:adjustRightInd/>
        <w:spacing w:before="200" w:after="200"/>
      </w:pPr>
      <w:r>
        <w:br w:type="page"/>
      </w:r>
    </w:p>
    <w:p w:rsidR="00A7761D" w:rsidRDefault="00A7761D" w:rsidP="00A7761D">
      <w:pPr>
        <w:pStyle w:val="Body"/>
        <w:keepNext/>
        <w:jc w:val="center"/>
        <w:outlineLvl w:val="0"/>
        <w:rPr>
          <w:b/>
          <w:bCs/>
        </w:rPr>
      </w:pPr>
      <w:bookmarkStart w:id="11" w:name="_Hlt149129259"/>
      <w:r>
        <w:rPr>
          <w:b/>
          <w:bCs/>
          <w:noProof/>
        </w:rPr>
        <w:lastRenderedPageBreak/>
        <w:drawing>
          <wp:inline distT="0" distB="0" distL="0" distR="0">
            <wp:extent cx="1443355" cy="1443355"/>
            <wp:effectExtent l="0" t="0" r="4445" b="0"/>
            <wp:docPr id="8" name="Picture 8" descr="New I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CN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3355" cy="1443355"/>
                    </a:xfrm>
                    <a:prstGeom prst="rect">
                      <a:avLst/>
                    </a:prstGeom>
                    <a:noFill/>
                    <a:ln>
                      <a:noFill/>
                    </a:ln>
                  </pic:spPr>
                </pic:pic>
              </a:graphicData>
            </a:graphic>
          </wp:inline>
        </w:drawing>
      </w:r>
    </w:p>
    <w:bookmarkEnd w:id="11"/>
    <w:p w:rsidR="00A7761D" w:rsidRPr="000414B4" w:rsidRDefault="00A7761D" w:rsidP="00A7761D">
      <w:pPr>
        <w:adjustRightInd/>
        <w:spacing w:line="240" w:lineRule="auto"/>
        <w:contextualSpacing/>
        <w:jc w:val="center"/>
        <w:rPr>
          <w:rFonts w:ascii="Calibri" w:eastAsia="MS Mincho" w:hAnsi="Calibri"/>
          <w:b/>
          <w:sz w:val="24"/>
          <w:szCs w:val="24"/>
          <w:u w:val="single"/>
          <w:lang w:eastAsia="ja-JP"/>
        </w:rPr>
      </w:pPr>
      <w:r w:rsidRPr="000414B4">
        <w:rPr>
          <w:rFonts w:ascii="Calibri" w:eastAsia="MS Mincho" w:hAnsi="Calibri"/>
          <w:b/>
          <w:sz w:val="24"/>
          <w:szCs w:val="24"/>
          <w:u w:val="single"/>
          <w:lang w:eastAsia="ja-JP"/>
        </w:rPr>
        <w:t xml:space="preserve">SERVICE BRIEF – </w:t>
      </w:r>
      <w:r>
        <w:rPr>
          <w:rFonts w:ascii="Calibri" w:eastAsia="MS Mincho" w:hAnsi="Calibri"/>
          <w:b/>
          <w:sz w:val="24"/>
          <w:szCs w:val="24"/>
          <w:u w:val="single"/>
          <w:lang w:eastAsia="ja-JP"/>
        </w:rPr>
        <w:t xml:space="preserve">LOT C3 </w:t>
      </w:r>
      <w:r w:rsidRPr="000414B4">
        <w:rPr>
          <w:rFonts w:ascii="Calibri" w:eastAsia="MS Mincho" w:hAnsi="Calibri"/>
          <w:b/>
          <w:sz w:val="24"/>
          <w:szCs w:val="24"/>
          <w:u w:val="single"/>
          <w:lang w:eastAsia="ja-JP"/>
        </w:rPr>
        <w:t>BUILDING SURVEYING SERVICES</w:t>
      </w:r>
    </w:p>
    <w:p w:rsidR="00A7761D" w:rsidRPr="000414B4" w:rsidRDefault="00A7761D" w:rsidP="00A7761D">
      <w:pPr>
        <w:adjustRightInd/>
        <w:spacing w:line="240" w:lineRule="auto"/>
        <w:jc w:val="both"/>
        <w:rPr>
          <w:rFonts w:ascii="Calibri" w:eastAsia="MS Mincho" w:hAnsi="Calibri"/>
          <w:sz w:val="24"/>
          <w:szCs w:val="24"/>
          <w:lang w:eastAsia="ja-JP"/>
        </w:rPr>
      </w:pPr>
    </w:p>
    <w:p w:rsidR="00A7761D" w:rsidRPr="000414B4" w:rsidRDefault="00A7761D" w:rsidP="00A7761D">
      <w:pPr>
        <w:adjustRightInd/>
        <w:spacing w:line="240" w:lineRule="auto"/>
        <w:jc w:val="both"/>
        <w:rPr>
          <w:rFonts w:ascii="Calibri" w:eastAsia="MS Mincho" w:hAnsi="Calibri"/>
          <w:sz w:val="24"/>
          <w:szCs w:val="24"/>
          <w:lang w:eastAsia="ja-JP"/>
        </w:rPr>
      </w:pPr>
      <w:r w:rsidRPr="000414B4">
        <w:rPr>
          <w:rFonts w:ascii="Calibri" w:eastAsia="MS Mincho" w:hAnsi="Calibri"/>
          <w:sz w:val="24"/>
          <w:szCs w:val="24"/>
          <w:lang w:eastAsia="ja-JP"/>
        </w:rPr>
        <w:t>The following service brief is based on the RICS standard for Building Surveyor Services.</w:t>
      </w:r>
    </w:p>
    <w:p w:rsidR="00A7761D" w:rsidRPr="000414B4" w:rsidRDefault="00A7761D" w:rsidP="00A7761D">
      <w:pPr>
        <w:adjustRightInd/>
        <w:spacing w:line="240" w:lineRule="auto"/>
        <w:jc w:val="both"/>
        <w:rPr>
          <w:rFonts w:ascii="Calibri" w:eastAsia="MS Mincho" w:hAnsi="Calibri"/>
          <w:sz w:val="24"/>
          <w:szCs w:val="24"/>
          <w:lang w:eastAsia="ja-JP"/>
        </w:rPr>
      </w:pPr>
    </w:p>
    <w:p w:rsidR="00A7761D" w:rsidRPr="000414B4" w:rsidRDefault="00A7761D" w:rsidP="00A7761D">
      <w:pPr>
        <w:adjustRightInd/>
        <w:spacing w:line="240" w:lineRule="auto"/>
        <w:jc w:val="both"/>
        <w:rPr>
          <w:rFonts w:ascii="Calibri" w:eastAsia="MS Mincho" w:hAnsi="Calibri"/>
          <w:sz w:val="24"/>
          <w:szCs w:val="24"/>
          <w:lang w:eastAsia="ja-JP"/>
        </w:rPr>
      </w:pPr>
      <w:r w:rsidRPr="000414B4">
        <w:rPr>
          <w:rFonts w:ascii="Calibri" w:eastAsia="MS Mincho" w:hAnsi="Calibri"/>
          <w:sz w:val="24"/>
          <w:szCs w:val="24"/>
          <w:lang w:eastAsia="ja-JP"/>
        </w:rPr>
        <w:t>Please note that the Client requires a one-stop service and where the RICS brief refers to the professional team the framework consultant will be expected to coordinate a comprehensive service which embraces measured and dilapidation surveys, design, cost consultancy,  Principal Designer, Health and Safety Advisor, Party Wall Surveyor (where applicable) and SAP calculations together with all contract administration.</w:t>
      </w:r>
    </w:p>
    <w:p w:rsidR="00A7761D" w:rsidRPr="000414B4" w:rsidRDefault="00A7761D" w:rsidP="00A7761D">
      <w:pPr>
        <w:adjustRightInd/>
        <w:spacing w:line="240" w:lineRule="auto"/>
        <w:jc w:val="both"/>
        <w:rPr>
          <w:rFonts w:ascii="Calibri" w:eastAsia="MS Mincho" w:hAnsi="Calibri"/>
          <w:sz w:val="24"/>
          <w:szCs w:val="24"/>
          <w:lang w:eastAsia="ja-JP"/>
        </w:rPr>
      </w:pPr>
    </w:p>
    <w:p w:rsidR="00A7761D" w:rsidRPr="000414B4" w:rsidRDefault="00A7761D" w:rsidP="00A7761D">
      <w:pPr>
        <w:adjustRightInd/>
        <w:spacing w:line="240" w:lineRule="auto"/>
        <w:jc w:val="both"/>
        <w:rPr>
          <w:rFonts w:ascii="Calibri" w:eastAsia="Calibri" w:hAnsi="Calibri"/>
          <w:sz w:val="24"/>
          <w:szCs w:val="24"/>
          <w:lang w:eastAsia="en-US"/>
        </w:rPr>
      </w:pPr>
      <w:r w:rsidRPr="000414B4">
        <w:rPr>
          <w:rFonts w:ascii="Calibri" w:eastAsia="Calibri" w:hAnsi="Calibri"/>
          <w:sz w:val="24"/>
          <w:szCs w:val="24"/>
          <w:lang w:eastAsia="en-US"/>
        </w:rPr>
        <w:t>The appointed practice shall demonstrate reasonable skill and care as is expected of a person deemed competent to undertake the role.</w:t>
      </w:r>
    </w:p>
    <w:p w:rsidR="00A7761D" w:rsidRPr="000414B4" w:rsidRDefault="00A7761D" w:rsidP="00A7761D">
      <w:pPr>
        <w:adjustRightInd/>
        <w:spacing w:line="240" w:lineRule="auto"/>
        <w:jc w:val="both"/>
        <w:rPr>
          <w:rFonts w:ascii="Calibri" w:eastAsia="Times New Roman" w:hAnsi="Calibri"/>
          <w:sz w:val="24"/>
          <w:szCs w:val="24"/>
        </w:rPr>
      </w:pPr>
    </w:p>
    <w:p w:rsidR="00A7761D" w:rsidRPr="000414B4" w:rsidRDefault="00A7761D" w:rsidP="00A7761D">
      <w:pPr>
        <w:adjustRightInd/>
        <w:spacing w:line="240" w:lineRule="auto"/>
        <w:jc w:val="both"/>
        <w:rPr>
          <w:rFonts w:ascii="Calibri" w:eastAsia="Times New Roman" w:hAnsi="Calibri"/>
          <w:sz w:val="24"/>
          <w:szCs w:val="24"/>
        </w:rPr>
      </w:pPr>
      <w:r>
        <w:rPr>
          <w:rFonts w:ascii="Calibri" w:eastAsia="Times New Roman" w:hAnsi="Calibri"/>
          <w:sz w:val="24"/>
          <w:szCs w:val="24"/>
        </w:rPr>
        <w:t>ICN</w:t>
      </w:r>
      <w:r w:rsidRPr="000414B4">
        <w:rPr>
          <w:rFonts w:ascii="Calibri" w:eastAsia="Times New Roman" w:hAnsi="Calibri"/>
          <w:sz w:val="24"/>
          <w:szCs w:val="24"/>
        </w:rPr>
        <w:t xml:space="preserve"> is committed to Equal Opportunities and you will be expected to uphold the spirit of this commitment in all your</w:t>
      </w:r>
      <w:r>
        <w:rPr>
          <w:rFonts w:ascii="Calibri" w:eastAsia="Times New Roman" w:hAnsi="Calibri"/>
          <w:sz w:val="24"/>
          <w:szCs w:val="24"/>
        </w:rPr>
        <w:t xml:space="preserve"> dealings on behalf of each ICN</w:t>
      </w:r>
      <w:r w:rsidRPr="000414B4">
        <w:rPr>
          <w:rFonts w:ascii="Calibri" w:eastAsia="Times New Roman" w:hAnsi="Calibri"/>
          <w:sz w:val="24"/>
          <w:szCs w:val="24"/>
        </w:rPr>
        <w:t xml:space="preserve"> member. </w:t>
      </w:r>
    </w:p>
    <w:p w:rsidR="00A7761D" w:rsidRPr="000414B4" w:rsidRDefault="00A7761D" w:rsidP="00A7761D">
      <w:pPr>
        <w:adjustRightInd/>
        <w:spacing w:line="240" w:lineRule="auto"/>
        <w:jc w:val="both"/>
        <w:rPr>
          <w:rFonts w:ascii="Calibri" w:eastAsia="MS Mincho" w:hAnsi="Calibri"/>
          <w:sz w:val="24"/>
          <w:szCs w:val="24"/>
          <w:lang w:eastAsia="ja-JP"/>
        </w:rPr>
      </w:pPr>
    </w:p>
    <w:p w:rsidR="00A7761D" w:rsidRPr="000414B4" w:rsidRDefault="00A7761D" w:rsidP="00A7761D">
      <w:pPr>
        <w:numPr>
          <w:ilvl w:val="0"/>
          <w:numId w:val="23"/>
        </w:numPr>
        <w:adjustRightInd/>
        <w:spacing w:after="200" w:line="240" w:lineRule="auto"/>
        <w:ind w:left="567" w:hanging="567"/>
        <w:contextualSpacing/>
        <w:jc w:val="both"/>
        <w:rPr>
          <w:rFonts w:ascii="Calibri" w:eastAsia="MS Mincho" w:hAnsi="Calibri"/>
          <w:b/>
          <w:sz w:val="24"/>
          <w:szCs w:val="24"/>
          <w:u w:val="single"/>
          <w:lang w:eastAsia="ja-JP"/>
        </w:rPr>
      </w:pPr>
      <w:r w:rsidRPr="000414B4">
        <w:rPr>
          <w:rFonts w:ascii="Calibri" w:eastAsia="MS Mincho" w:hAnsi="Calibri"/>
          <w:b/>
          <w:sz w:val="24"/>
          <w:szCs w:val="24"/>
          <w:u w:val="single"/>
          <w:lang w:eastAsia="ja-JP"/>
        </w:rPr>
        <w:t>CORE SERVICES (CONSTRUCTION)</w:t>
      </w:r>
    </w:p>
    <w:p w:rsidR="00A7761D" w:rsidRPr="000414B4" w:rsidRDefault="00A7761D" w:rsidP="00A7761D">
      <w:pPr>
        <w:adjustRightInd/>
        <w:spacing w:line="240" w:lineRule="auto"/>
        <w:ind w:left="720"/>
        <w:contextualSpacing/>
        <w:jc w:val="both"/>
        <w:rPr>
          <w:rFonts w:ascii="Calibri" w:eastAsia="MS Mincho" w:hAnsi="Calibri"/>
          <w:b/>
          <w:sz w:val="24"/>
          <w:szCs w:val="24"/>
          <w:u w:val="single"/>
          <w:lang w:eastAsia="ja-JP"/>
        </w:rPr>
      </w:pPr>
    </w:p>
    <w:p w:rsidR="00A7761D" w:rsidRPr="00F37498" w:rsidRDefault="00A7761D" w:rsidP="00A7761D">
      <w:pPr>
        <w:adjustRightInd/>
        <w:spacing w:line="240" w:lineRule="auto"/>
        <w:ind w:left="567" w:hanging="567"/>
        <w:jc w:val="both"/>
        <w:rPr>
          <w:rFonts w:ascii="Calibri" w:eastAsia="MS Mincho" w:hAnsi="Calibri"/>
          <w:b/>
          <w:sz w:val="24"/>
          <w:szCs w:val="24"/>
          <w:lang w:eastAsia="ja-JP"/>
        </w:rPr>
      </w:pPr>
      <w:r w:rsidRPr="00F37498">
        <w:rPr>
          <w:rFonts w:ascii="Calibri" w:eastAsia="MS Mincho" w:hAnsi="Calibri"/>
          <w:b/>
          <w:sz w:val="24"/>
          <w:szCs w:val="24"/>
          <w:lang w:eastAsia="ja-JP"/>
        </w:rPr>
        <w:t>1.1</w:t>
      </w:r>
      <w:r w:rsidRPr="00F37498">
        <w:rPr>
          <w:rFonts w:ascii="Calibri" w:eastAsia="MS Mincho" w:hAnsi="Calibri"/>
          <w:b/>
          <w:sz w:val="24"/>
          <w:szCs w:val="24"/>
          <w:lang w:eastAsia="ja-JP"/>
        </w:rPr>
        <w:tab/>
        <w:t>General</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7858"/>
      </w:tblGrid>
      <w:tr w:rsidR="00A7761D" w:rsidRPr="000414B4" w:rsidTr="00701671">
        <w:tc>
          <w:tcPr>
            <w:tcW w:w="850"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b/>
                <w:sz w:val="24"/>
                <w:szCs w:val="24"/>
                <w:lang w:eastAsia="ja-JP"/>
              </w:rPr>
              <w:t>Description of Services</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Attend Client, Design, Project, Site and other meetings as provided under this Appointment.</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Issue instructions, on behalf of the Client, to the Professional Team and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in accordance with the terms of their Appointments/the Building Contract.</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Professional Team and advise the Client of its obligations under the CDM Regulations.</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Comply with the CDM Regulations insofar as they relate to this Appointment.</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1.1.5</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Agree Project reporting and recording procedures with the Client,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Implement agreed procedures.</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1.1.6</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Monitor the performance of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Report to the Client.</w:t>
            </w:r>
          </w:p>
        </w:tc>
      </w:tr>
      <w:tr w:rsidR="00A7761D" w:rsidRPr="000414B4" w:rsidTr="00701671">
        <w:tc>
          <w:tcPr>
            <w:tcW w:w="850"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1.1.7</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Prepare regular (monthly) design, quality, cost and programme reports. Advise the Client of any decisions required and obtain authorisation.</w:t>
            </w:r>
          </w:p>
        </w:tc>
      </w:tr>
    </w:tbl>
    <w:p w:rsidR="00A7761D" w:rsidRPr="000414B4" w:rsidRDefault="00A7761D" w:rsidP="00A7761D">
      <w:pPr>
        <w:adjustRightInd/>
        <w:spacing w:line="240" w:lineRule="auto"/>
        <w:jc w:val="both"/>
        <w:rPr>
          <w:rFonts w:ascii="Calibri" w:eastAsia="MS Mincho" w:hAnsi="Calibri"/>
          <w:sz w:val="24"/>
          <w:szCs w:val="24"/>
          <w:lang w:eastAsia="ja-JP"/>
        </w:rPr>
      </w:pPr>
    </w:p>
    <w:p w:rsidR="00A7761D" w:rsidRPr="00F37498" w:rsidRDefault="00A7761D" w:rsidP="00A7761D">
      <w:pPr>
        <w:adjustRightInd/>
        <w:spacing w:line="240" w:lineRule="auto"/>
        <w:ind w:left="567" w:hanging="567"/>
        <w:jc w:val="both"/>
        <w:rPr>
          <w:rFonts w:ascii="Calibri" w:eastAsia="MS Mincho" w:hAnsi="Calibri"/>
          <w:b/>
          <w:sz w:val="24"/>
          <w:szCs w:val="24"/>
          <w:lang w:eastAsia="ja-JP"/>
        </w:rPr>
      </w:pPr>
      <w:r w:rsidRPr="00F37498">
        <w:rPr>
          <w:rFonts w:ascii="Calibri" w:eastAsia="MS Mincho" w:hAnsi="Calibri"/>
          <w:b/>
          <w:sz w:val="24"/>
          <w:szCs w:val="24"/>
          <w:lang w:eastAsia="ja-JP"/>
        </w:rPr>
        <w:t xml:space="preserve">1.2 </w:t>
      </w:r>
      <w:r w:rsidRPr="00F37498">
        <w:rPr>
          <w:rFonts w:ascii="Calibri" w:eastAsia="MS Mincho" w:hAnsi="Calibri"/>
          <w:b/>
          <w:sz w:val="24"/>
          <w:szCs w:val="24"/>
          <w:lang w:eastAsia="ja-JP"/>
        </w:rPr>
        <w:tab/>
        <w:t>Preparation and Brief (RIBA Plan of Work 2013)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7851"/>
      </w:tblGrid>
      <w:tr w:rsidR="00A7761D" w:rsidRPr="000414B4" w:rsidTr="00701671">
        <w:tc>
          <w:tcPr>
            <w:tcW w:w="817" w:type="dxa"/>
            <w:shd w:val="clear" w:color="auto" w:fill="D9D9D9"/>
          </w:tcPr>
          <w:p w:rsidR="00A7761D" w:rsidRPr="00AC31E5" w:rsidRDefault="00A7761D" w:rsidP="00701671">
            <w:pPr>
              <w:adjustRightInd/>
              <w:spacing w:line="240" w:lineRule="auto"/>
              <w:jc w:val="both"/>
              <w:rPr>
                <w:rFonts w:ascii="Calibri" w:eastAsia="MS Mincho" w:hAnsi="Calibri" w:cs="Times New Roman"/>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b/>
                <w:sz w:val="24"/>
                <w:szCs w:val="24"/>
                <w:lang w:eastAsia="ja-JP"/>
              </w:rPr>
              <w:t>Description of Services</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lastRenderedPageBreak/>
              <w:t>1.2.1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Client and the Professional Team to determine the Client’s initial requirements and to develop the Client’s Brief. Establish and review approval, variation and reporting procedures. Prepare recommendations for the Client’s approval.</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Visit the Site and carry out initial inspections. Advise the Client on areas of concern and highlight all areas of risk.</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Professional Team and advise the Client on structural, building, measured and other surveys and site investigations.</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Prepare a measured survey/condition survey or other report on the Site or any existing buildings on the Site. Produce dimensioned drawings, schedule of condition and other record documents.</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1.2.5</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Carry out a desktop study of archive material. Prepare a report and advise the Client.</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1.2.6</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Advise the Client on demolition, strip-out, site investigation and enabling works contracts required before the Building Contract.</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1.2.7</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Professional Team and procure demolition, strip-out, site investigation and enabling works contracts if required before the Building Contract.</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1.2.8</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Advise the Client on specialist services, including consultants, Contractors, sub-Contractors and suppliers required in connection with the Project.</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1.2.9</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Professional Team and advise the Client of its obligations under the CDM Regulations.</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1.2.10</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Comply with the CDM Regulations 2015 insofar as they relate to this Appointment.</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1.2.11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Professional Team and advise the Client on statutory or other approvals required and fees due in respect of the Project. Recommend payments to the Client.</w:t>
            </w:r>
          </w:p>
        </w:tc>
      </w:tr>
      <w:tr w:rsidR="00A7761D" w:rsidRPr="000414B4" w:rsidTr="00701671">
        <w:tc>
          <w:tcPr>
            <w:tcW w:w="817"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1.2.12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Prepare an initial appraisal for the Project including advice and recommendations on the technical feasibility of the works required, their approximate costs, their design and construction programme and any statutory or other approvals required.</w:t>
            </w:r>
          </w:p>
        </w:tc>
      </w:tr>
    </w:tbl>
    <w:p w:rsidR="00A7761D" w:rsidRPr="000414B4" w:rsidRDefault="00A7761D" w:rsidP="00A7761D">
      <w:pPr>
        <w:adjustRightInd/>
        <w:spacing w:line="240" w:lineRule="auto"/>
        <w:ind w:left="567" w:hanging="567"/>
        <w:jc w:val="both"/>
        <w:rPr>
          <w:rFonts w:ascii="Calibri" w:eastAsia="MS Mincho" w:hAnsi="Calibri"/>
          <w:sz w:val="24"/>
          <w:szCs w:val="24"/>
          <w:lang w:eastAsia="ja-JP"/>
        </w:rPr>
      </w:pPr>
    </w:p>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r w:rsidRPr="000414B4">
        <w:rPr>
          <w:rFonts w:ascii="Calibri" w:eastAsia="MS Mincho" w:hAnsi="Calibri"/>
          <w:b/>
          <w:sz w:val="24"/>
          <w:szCs w:val="24"/>
          <w:lang w:eastAsia="ja-JP"/>
        </w:rPr>
        <w:t xml:space="preserve">1.3 </w:t>
      </w:r>
      <w:r w:rsidRPr="000414B4">
        <w:rPr>
          <w:rFonts w:ascii="Calibri" w:eastAsia="MS Mincho" w:hAnsi="Calibri"/>
          <w:b/>
          <w:sz w:val="24"/>
          <w:szCs w:val="24"/>
          <w:lang w:eastAsia="ja-JP"/>
        </w:rPr>
        <w:tab/>
        <w:t>Concept Design (RIBA Plan of Work 2013)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58"/>
      </w:tblGrid>
      <w:tr w:rsidR="00A7761D" w:rsidRPr="000414B4" w:rsidTr="00701671">
        <w:tc>
          <w:tcPr>
            <w:tcW w:w="817"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b/>
                <w:sz w:val="24"/>
                <w:szCs w:val="24"/>
                <w:lang w:eastAsia="ja-JP"/>
              </w:rPr>
              <w:t>Description of Services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1.3.1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Professional Team and prepare outline proposal(s) for the Project including advice and recommendations on the technical feasibility of the works required, structural design, building services systems and quality standards.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1.3.2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Identify the approximate budget estimates, construction programme and any statutory or other approvals required. Begin preparation of specification documents. </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1.3.3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Establish the roles and responsibilities of the Client, the Professional Team,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and specialist/design sub-Contractors.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1.3.4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Professional Team and establish a structure and procedure for design and quality management. Establish and review approval, variation and reporting procedures. Prepare recommendations for the Client’s approval</w:t>
            </w:r>
          </w:p>
        </w:tc>
      </w:tr>
    </w:tbl>
    <w:p w:rsidR="00A7761D" w:rsidRDefault="00A7761D" w:rsidP="00A7761D">
      <w:pPr>
        <w:adjustRightInd/>
        <w:spacing w:line="240" w:lineRule="auto"/>
        <w:ind w:left="567" w:hanging="567"/>
        <w:jc w:val="both"/>
        <w:rPr>
          <w:rFonts w:ascii="Calibri" w:eastAsia="MS Mincho" w:hAnsi="Calibri"/>
          <w:b/>
          <w:sz w:val="24"/>
          <w:szCs w:val="24"/>
          <w:lang w:eastAsia="ja-JP"/>
        </w:rPr>
      </w:pPr>
    </w:p>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p>
    <w:p w:rsidR="00A7761D" w:rsidRDefault="00A7761D" w:rsidP="00A7761D">
      <w:pPr>
        <w:adjustRightInd/>
        <w:spacing w:line="240" w:lineRule="auto"/>
        <w:ind w:left="567" w:hanging="567"/>
        <w:jc w:val="both"/>
        <w:rPr>
          <w:rFonts w:ascii="Calibri" w:eastAsia="MS Mincho" w:hAnsi="Calibri"/>
          <w:b/>
          <w:sz w:val="24"/>
          <w:szCs w:val="24"/>
          <w:lang w:eastAsia="ja-JP"/>
        </w:rPr>
      </w:pPr>
    </w:p>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r w:rsidRPr="000414B4">
        <w:rPr>
          <w:rFonts w:ascii="Calibri" w:eastAsia="MS Mincho" w:hAnsi="Calibri"/>
          <w:b/>
          <w:sz w:val="24"/>
          <w:szCs w:val="24"/>
          <w:lang w:eastAsia="ja-JP"/>
        </w:rPr>
        <w:t xml:space="preserve">1.4 </w:t>
      </w:r>
      <w:r w:rsidRPr="000414B4">
        <w:rPr>
          <w:rFonts w:ascii="Calibri" w:eastAsia="MS Mincho" w:hAnsi="Calibri"/>
          <w:b/>
          <w:sz w:val="24"/>
          <w:szCs w:val="24"/>
          <w:lang w:eastAsia="ja-JP"/>
        </w:rPr>
        <w:tab/>
        <w:t>Developed Design (RIBA Plan of Work 2013)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58"/>
      </w:tblGrid>
      <w:tr w:rsidR="00A7761D" w:rsidRPr="000414B4" w:rsidTr="00701671">
        <w:tc>
          <w:tcPr>
            <w:tcW w:w="817"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b/>
                <w:sz w:val="24"/>
                <w:szCs w:val="24"/>
                <w:lang w:eastAsia="ja-JP"/>
              </w:rPr>
              <w:t>Description of Services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1.4.1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Professional Team and prepare developed, coordinated and updated proposals for the Project including advice and recommendations on the technical feasibility of the works required, structural design, building services systems and quality standards.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1.4.2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Identify measured budget estimates, considered construction programme and confirm any statutory or other approvals required. Finalise specification documents. Prepare recommendations for the Client’s approval.</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1.4.3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Confirm the scope of the Building Contract to the Client and advise on additional works required by third parties.</w:t>
            </w:r>
          </w:p>
        </w:tc>
      </w:tr>
    </w:tbl>
    <w:p w:rsidR="00A7761D" w:rsidRPr="000414B4" w:rsidRDefault="00A7761D" w:rsidP="00A7761D">
      <w:pPr>
        <w:adjustRightInd/>
        <w:spacing w:line="240" w:lineRule="auto"/>
        <w:ind w:left="1134" w:hanging="567"/>
        <w:jc w:val="both"/>
        <w:rPr>
          <w:rFonts w:ascii="Calibri" w:eastAsia="MS Mincho" w:hAnsi="Calibri"/>
          <w:sz w:val="24"/>
          <w:szCs w:val="24"/>
          <w:lang w:eastAsia="ja-JP"/>
        </w:rPr>
      </w:pPr>
    </w:p>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r w:rsidRPr="000414B4">
        <w:rPr>
          <w:rFonts w:ascii="Calibri" w:eastAsia="MS Mincho" w:hAnsi="Calibri"/>
          <w:b/>
          <w:sz w:val="24"/>
          <w:szCs w:val="24"/>
          <w:lang w:eastAsia="ja-JP"/>
        </w:rPr>
        <w:t>1.5</w:t>
      </w:r>
      <w:r w:rsidRPr="000414B4">
        <w:rPr>
          <w:rFonts w:ascii="Calibri" w:eastAsia="MS Mincho" w:hAnsi="Calibri"/>
          <w:b/>
          <w:sz w:val="24"/>
          <w:szCs w:val="24"/>
          <w:lang w:eastAsia="ja-JP"/>
        </w:rPr>
        <w:tab/>
        <w:t>Technical Design (RIBA Plan of Work 2013)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7851"/>
      </w:tblGrid>
      <w:tr w:rsidR="00A7761D" w:rsidRPr="000414B4" w:rsidTr="00701671">
        <w:tc>
          <w:tcPr>
            <w:tcW w:w="817"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b/>
                <w:sz w:val="24"/>
                <w:szCs w:val="24"/>
                <w:lang w:eastAsia="ja-JP"/>
              </w:rPr>
              <w:t>Description of Services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Professional Team and identify any extended lead times for building components and systems.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Professional Team and identify any specialist/proprietary building components and systems. Prepare recommendations for the Client’s approval.</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Prepare and submit planning, building regulations or other statutory applications. Conduct negotiations on behalf of the Client.</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Professional Team and prepare a Project summary report including advice and recommendations on the technical feasibility of the works.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1.5.5</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Prepare and maintain a Client briefing document, identifying the roles and responsibilities of the Client, the Professional Team,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and specialist sub-Contractors/ suppliers.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1.5.6</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Advise on tendering and contractual procurement options.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1.5.7</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Advise on suitable tenderers for the Building Contract in line with the Client’s procurement framework. </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1.5.8</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Professional Team and prepare pre-construction documentation and information required for the safe design and construction of the project. Prepare a risk register to clarify mitigation measures in place for all design aspects.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1.5.9</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Prepare and finalise tender drawings and specifications in preparation for the procurement process.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1.5.10</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Issue tender documents to Contractors. Respond to queries and clarifications throughout the tender period. Organise and attend pre and post tender interviews (where required); attend and minute tender openings.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Liaise with the Professional Team and advise on errors, omissions, exclusions, qualifications and inconsistencies between the tender documents and the tenders received. </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Advise on the tenderers design and construction programmes and method </w:t>
            </w:r>
            <w:r w:rsidRPr="00AC31E5">
              <w:rPr>
                <w:rFonts w:ascii="Calibri" w:eastAsia="MS Mincho" w:hAnsi="Calibri" w:cs="Times New Roman"/>
                <w:sz w:val="24"/>
                <w:szCs w:val="24"/>
                <w:lang w:eastAsia="ja-JP"/>
              </w:rPr>
              <w:lastRenderedPageBreak/>
              <w:t>statements.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lastRenderedPageBreak/>
              <w:t>1.5.13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Liaise with the Professional Team and prepare, or obtain from the Professional Team, cost and design studies to assess alternative Contractor’s proposals. </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B04484">
              <w:rPr>
                <w:rFonts w:ascii="Calibri" w:hAnsi="Calibri" w:cs="Calibri"/>
                <w:sz w:val="24"/>
                <w:szCs w:val="24"/>
              </w:rPr>
              <w:t>Provide a Value for Money / Tender Report as appropriate. Reports must include relevant cost benchmarking of the tender sum against both ICN and other non-ICN relevant and comparable schemes to demonstrate value for money. The Value for Money / Tender Report must, as a minimum, provide all information required for internal and external reporting as set out in the template included at Appendix 1 herein.</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1.5.15</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Conduct negotiations with tenderers. Prepare documentation to confirm adjustments to the tender sums.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1.5.16</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Liaise with the Client and the Professional Team and advise on methods of progressing design and/or construction works prior to the execution of the Building Contract.</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1.5.17</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Obtain confirmation that required insurances are in place prior to commencement of works on the Site.</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1.5.18</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 xml:space="preserve">Prepare and assemble the contract drawings and specifications with the Professional Team. Liaise with the Client’s legal advisors if necessary, prepare the contract documents and deliver to the Client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for completion.</w:t>
            </w:r>
          </w:p>
        </w:tc>
      </w:tr>
    </w:tbl>
    <w:p w:rsidR="00A7761D" w:rsidRPr="000414B4" w:rsidRDefault="00A7761D" w:rsidP="00A7761D">
      <w:pPr>
        <w:adjustRightInd/>
        <w:spacing w:line="240" w:lineRule="auto"/>
        <w:ind w:left="1134" w:hanging="567"/>
        <w:jc w:val="both"/>
        <w:rPr>
          <w:rFonts w:ascii="Calibri" w:eastAsia="MS Mincho" w:hAnsi="Calibri"/>
          <w:sz w:val="24"/>
          <w:szCs w:val="24"/>
          <w:lang w:eastAsia="ja-JP"/>
        </w:rPr>
      </w:pPr>
    </w:p>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r w:rsidRPr="000414B4">
        <w:rPr>
          <w:rFonts w:ascii="Calibri" w:eastAsia="MS Mincho" w:hAnsi="Calibri"/>
          <w:b/>
          <w:sz w:val="24"/>
          <w:szCs w:val="24"/>
          <w:lang w:eastAsia="ja-JP"/>
        </w:rPr>
        <w:t xml:space="preserve">1.6 </w:t>
      </w:r>
      <w:r w:rsidRPr="000414B4">
        <w:rPr>
          <w:rFonts w:ascii="Calibri" w:eastAsia="MS Mincho" w:hAnsi="Calibri"/>
          <w:b/>
          <w:sz w:val="24"/>
          <w:szCs w:val="24"/>
          <w:lang w:eastAsia="ja-JP"/>
        </w:rPr>
        <w:tab/>
        <w:t>Construction (RIBA Plan of Work 2013)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58"/>
      </w:tblGrid>
      <w:tr w:rsidR="00A7761D" w:rsidRPr="000414B4" w:rsidTr="00701671">
        <w:tc>
          <w:tcPr>
            <w:tcW w:w="817"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b/>
                <w:sz w:val="24"/>
                <w:szCs w:val="24"/>
                <w:lang w:eastAsia="ja-JP"/>
              </w:rPr>
              <w:t>Description of Services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Liaise with the Principal Contractor for the duration of the Building Surveyors appointment and share with the Principal Contractor information relevant to the planning, management and monitoring of the construction phase and the coordination of the health and safety matters during the construction phase.</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Assist the Principal Contractor in preparing the construction phase plan by providing to the Principal Contractor all information the Building Surveyor holds and which is relevant to the construction, including pre construction information obtained from the Client and any information obtained from designers.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Convene and chair regular/monthly site meetings with the Client, the Professional Team,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 xml:space="preserve">Contractor and, where appropriate, sub-Contractor(s) or supplier(s). Take minutes of the matters discussed and issue copies of minutes to the Client, the Professional Team,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 and such other persons attending the meeting within 7 working days.</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Liaise with the Client and the Professional Team and conduct negotiations with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 xml:space="preserve">Contractor. Prepare documentation to confirm the agreements reached.  </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1.6.5</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Undertake </w:t>
            </w:r>
            <w:r>
              <w:rPr>
                <w:rFonts w:ascii="Calibri" w:eastAsia="MS Mincho" w:hAnsi="Calibri" w:cs="Times New Roman"/>
                <w:sz w:val="24"/>
                <w:szCs w:val="24"/>
                <w:lang w:eastAsia="ja-JP"/>
              </w:rPr>
              <w:t>fortnightly</w:t>
            </w:r>
            <w:r w:rsidRPr="00AC31E5">
              <w:rPr>
                <w:rFonts w:ascii="Calibri" w:eastAsia="MS Mincho" w:hAnsi="Calibri" w:cs="Times New Roman"/>
                <w:sz w:val="24"/>
                <w:szCs w:val="24"/>
                <w:lang w:eastAsia="ja-JP"/>
              </w:rPr>
              <w:t xml:space="preserve"> site inspections. Obtain progress and quality reports from site staff representing the Client,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1.6.6</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Visit the Site </w:t>
            </w:r>
            <w:r>
              <w:rPr>
                <w:rFonts w:ascii="Calibri" w:eastAsia="MS Mincho" w:hAnsi="Calibri" w:cs="Times New Roman"/>
                <w:sz w:val="24"/>
                <w:szCs w:val="24"/>
                <w:lang w:eastAsia="ja-JP"/>
              </w:rPr>
              <w:t xml:space="preserve">fortnightly </w:t>
            </w:r>
            <w:r w:rsidRPr="00AC31E5">
              <w:rPr>
                <w:rFonts w:ascii="Calibri" w:eastAsia="MS Mincho" w:hAnsi="Calibri" w:cs="Times New Roman"/>
                <w:sz w:val="24"/>
                <w:szCs w:val="24"/>
                <w:lang w:eastAsia="ja-JP"/>
              </w:rPr>
              <w:t xml:space="preserve">and assess the progress of the Project for interim payment purposes. Liaise with the Professional Team and prepare </w:t>
            </w:r>
            <w:r w:rsidRPr="00AC31E5">
              <w:rPr>
                <w:rFonts w:ascii="Calibri" w:eastAsia="MS Mincho" w:hAnsi="Calibri" w:cs="Times New Roman"/>
                <w:sz w:val="24"/>
                <w:szCs w:val="24"/>
                <w:lang w:eastAsia="ja-JP"/>
              </w:rPr>
              <w:lastRenderedPageBreak/>
              <w:t xml:space="preserve">recommendations for interim payments to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lastRenderedPageBreak/>
              <w:t>1.6.7</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Advise, or obtain advice from the Professional Team, on the cost and programme effect of variations prior to the issue of instructions under the Building Contract. Agree the cost of instructions, issued under the Building Contract and obtain authorisation from the Client for any additional costs. </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1.6.8</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Agree all test certificates and statutory and non-statutory approvals required from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1.6.9</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Advise on the rights and obligations of the parties to the Building Contract.</w:t>
            </w:r>
          </w:p>
        </w:tc>
      </w:tr>
    </w:tbl>
    <w:p w:rsidR="00A7761D" w:rsidRDefault="00A7761D" w:rsidP="00A7761D">
      <w:pPr>
        <w:adjustRightInd/>
        <w:spacing w:line="240" w:lineRule="auto"/>
        <w:jc w:val="both"/>
        <w:rPr>
          <w:rFonts w:ascii="Calibri" w:eastAsia="MS Mincho" w:hAnsi="Calibri"/>
          <w:b/>
          <w:sz w:val="24"/>
          <w:szCs w:val="24"/>
          <w:lang w:eastAsia="ja-JP"/>
        </w:rPr>
      </w:pPr>
    </w:p>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r w:rsidRPr="000414B4">
        <w:rPr>
          <w:rFonts w:ascii="Calibri" w:eastAsia="MS Mincho" w:hAnsi="Calibri"/>
          <w:b/>
          <w:sz w:val="24"/>
          <w:szCs w:val="24"/>
          <w:lang w:eastAsia="ja-JP"/>
        </w:rPr>
        <w:t xml:space="preserve">1.7 </w:t>
      </w:r>
      <w:r w:rsidRPr="000414B4">
        <w:rPr>
          <w:rFonts w:ascii="Calibri" w:eastAsia="MS Mincho" w:hAnsi="Calibri"/>
          <w:b/>
          <w:sz w:val="24"/>
          <w:szCs w:val="24"/>
          <w:lang w:eastAsia="ja-JP"/>
        </w:rPr>
        <w:tab/>
        <w:t>Handover and Close Out (RIBA Plan of Work 2013)</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858"/>
      </w:tblGrid>
      <w:tr w:rsidR="00A7761D" w:rsidRPr="000414B4" w:rsidTr="00701671">
        <w:tc>
          <w:tcPr>
            <w:tcW w:w="817"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c>
          <w:tcPr>
            <w:tcW w:w="7858" w:type="dxa"/>
            <w:shd w:val="clear" w:color="auto" w:fill="D9D9D9"/>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b/>
                <w:sz w:val="24"/>
                <w:szCs w:val="24"/>
                <w:lang w:eastAsia="ja-JP"/>
              </w:rPr>
              <w:t>Description of Services</w:t>
            </w:r>
          </w:p>
          <w:p w:rsidR="00A7761D" w:rsidRPr="00AC31E5" w:rsidRDefault="00A7761D" w:rsidP="00701671">
            <w:pPr>
              <w:adjustRightInd/>
              <w:spacing w:line="240" w:lineRule="auto"/>
              <w:jc w:val="both"/>
              <w:rPr>
                <w:rFonts w:ascii="Calibri" w:eastAsia="MS Mincho" w:hAnsi="Calibri" w:cs="Times New Roman"/>
                <w:b/>
                <w:sz w:val="24"/>
                <w:szCs w:val="24"/>
                <w:lang w:eastAsia="ja-JP"/>
              </w:rPr>
            </w:pP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1.7.1</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Liaise with the Client,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 xml:space="preserve">Contractor and prepare and maintain a handover plan, or similar management tool, identifying the roles and responsibilities of the Client,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1.7.2</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Liaise with the Client,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 xml:space="preserve">Contractor and prepare and maintain a defects administration plan, or similar management tool, to identify the roles and responsibilities of the Client, the Professional Team and the </w:t>
            </w:r>
            <w:r>
              <w:rPr>
                <w:rFonts w:ascii="Calibri" w:eastAsia="MS Mincho" w:hAnsi="Calibri" w:cs="Times New Roman"/>
                <w:sz w:val="24"/>
                <w:szCs w:val="24"/>
                <w:lang w:eastAsia="ja-JP"/>
              </w:rPr>
              <w:t xml:space="preserve">Principal </w:t>
            </w:r>
            <w:r w:rsidRPr="00AC31E5">
              <w:rPr>
                <w:rFonts w:ascii="Calibri" w:eastAsia="MS Mincho" w:hAnsi="Calibri" w:cs="Times New Roman"/>
                <w:sz w:val="24"/>
                <w:szCs w:val="24"/>
                <w:lang w:eastAsia="ja-JP"/>
              </w:rPr>
              <w:t>Contractor.</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1.7.3</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Monitor the flow of defects during the first 12 months and assess the cause of any defect trends. If required, prepare a written report for the Client with recommendations for rectification work. Ensure at all stages that defects are corrected.</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1.7.4</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 xml:space="preserve">To undertake inspections at Making Good Defects stage and issue a </w:t>
            </w:r>
            <w:r>
              <w:rPr>
                <w:rFonts w:ascii="Calibri" w:eastAsia="MS Mincho" w:hAnsi="Calibri" w:cs="Times New Roman"/>
                <w:sz w:val="24"/>
                <w:szCs w:val="24"/>
                <w:lang w:eastAsia="ja-JP"/>
              </w:rPr>
              <w:t>Notice of Completion</w:t>
            </w:r>
            <w:r w:rsidRPr="00AC31E5">
              <w:rPr>
                <w:rFonts w:ascii="Calibri" w:eastAsia="MS Mincho" w:hAnsi="Calibri" w:cs="Times New Roman"/>
                <w:sz w:val="24"/>
                <w:szCs w:val="24"/>
                <w:lang w:eastAsia="ja-JP"/>
              </w:rPr>
              <w:t xml:space="preserve"> of Making Good</w:t>
            </w:r>
            <w:r>
              <w:rPr>
                <w:rFonts w:ascii="Calibri" w:eastAsia="MS Mincho" w:hAnsi="Calibri" w:cs="Times New Roman"/>
                <w:sz w:val="24"/>
                <w:szCs w:val="24"/>
                <w:lang w:eastAsia="ja-JP"/>
              </w:rPr>
              <w:t>.</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1.7.5</w:t>
            </w: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977ABA">
              <w:rPr>
                <w:rFonts w:ascii="Calibri" w:hAnsi="Calibri" w:cs="Calibri"/>
                <w:sz w:val="24"/>
                <w:szCs w:val="24"/>
              </w:rPr>
              <w:t xml:space="preserve">Consider all claims made by the Principal Contractor for extensions of time and/or loss and expense under the terms of the contract (and with reference to ICN Framework contract amendments). Advise the Client in respect of the contractual position and prepare an Extension of Time report including information as set out in the template included at Appendix </w:t>
            </w:r>
            <w:r>
              <w:rPr>
                <w:rFonts w:ascii="Calibri" w:hAnsi="Calibri" w:cs="Calibri"/>
                <w:sz w:val="24"/>
                <w:szCs w:val="24"/>
              </w:rPr>
              <w:t>2</w:t>
            </w:r>
            <w:r w:rsidRPr="00977ABA">
              <w:rPr>
                <w:rFonts w:ascii="Calibri" w:hAnsi="Calibri" w:cs="Calibri"/>
                <w:sz w:val="24"/>
                <w:szCs w:val="24"/>
              </w:rPr>
              <w:t xml:space="preserve"> herein as required by the Client.</w:t>
            </w:r>
          </w:p>
        </w:tc>
      </w:tr>
      <w:tr w:rsidR="00A7761D" w:rsidRPr="000414B4" w:rsidTr="00701671">
        <w:tc>
          <w:tcPr>
            <w:tcW w:w="817" w:type="dxa"/>
            <w:shd w:val="clear" w:color="auto" w:fill="auto"/>
          </w:tcPr>
          <w:p w:rsidR="00A7761D" w:rsidRPr="00F37498" w:rsidRDefault="00A7761D" w:rsidP="00701671">
            <w:pPr>
              <w:adjustRightInd/>
              <w:spacing w:line="240" w:lineRule="auto"/>
              <w:jc w:val="both"/>
              <w:rPr>
                <w:rFonts w:ascii="Calibri" w:eastAsia="MS Mincho" w:hAnsi="Calibri" w:cs="Times New Roman"/>
                <w:sz w:val="24"/>
                <w:szCs w:val="24"/>
                <w:lang w:eastAsia="ja-JP"/>
              </w:rPr>
            </w:pPr>
            <w:r w:rsidRPr="00F37498">
              <w:rPr>
                <w:rFonts w:ascii="Calibri" w:eastAsia="MS Mincho" w:hAnsi="Calibri" w:cs="Times New Roman"/>
                <w:sz w:val="24"/>
                <w:szCs w:val="24"/>
                <w:lang w:eastAsia="ja-JP"/>
              </w:rPr>
              <w:t>1.7.6</w:t>
            </w:r>
          </w:p>
          <w:p w:rsidR="00A7761D" w:rsidRPr="00F37498" w:rsidRDefault="00A7761D" w:rsidP="00701671">
            <w:pPr>
              <w:adjustRightInd/>
              <w:spacing w:line="240" w:lineRule="auto"/>
              <w:jc w:val="both"/>
              <w:rPr>
                <w:rFonts w:ascii="Calibri" w:eastAsia="MS Mincho" w:hAnsi="Calibri" w:cs="Times New Roman"/>
                <w:sz w:val="24"/>
                <w:szCs w:val="24"/>
                <w:lang w:eastAsia="ja-JP"/>
              </w:rPr>
            </w:pP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b/>
                <w:sz w:val="24"/>
                <w:szCs w:val="24"/>
                <w:lang w:eastAsia="ja-JP"/>
              </w:rPr>
            </w:pPr>
            <w:r w:rsidRPr="00AC31E5">
              <w:rPr>
                <w:rFonts w:ascii="Calibri" w:eastAsia="MS Mincho" w:hAnsi="Calibri" w:cs="Times New Roman"/>
                <w:sz w:val="24"/>
                <w:szCs w:val="24"/>
                <w:lang w:eastAsia="ja-JP"/>
              </w:rPr>
              <w:t>Facilitate agreement to the final account or similar financial statement from the parties to the Building Contract. This includes the assessment of loss and expense claims and the recovery of liquidated and ascertained damages.</w:t>
            </w:r>
          </w:p>
        </w:tc>
      </w:tr>
      <w:tr w:rsidR="00A7761D" w:rsidRPr="000414B4" w:rsidTr="00701671">
        <w:tc>
          <w:tcPr>
            <w:tcW w:w="817" w:type="dxa"/>
            <w:shd w:val="clear" w:color="auto" w:fill="auto"/>
          </w:tcPr>
          <w:p w:rsidR="00A7761D" w:rsidRDefault="00A7761D" w:rsidP="00701671">
            <w:pPr>
              <w:adjustRightInd/>
              <w:spacing w:line="240" w:lineRule="auto"/>
              <w:jc w:val="both"/>
              <w:rPr>
                <w:rFonts w:ascii="Calibri" w:eastAsia="MS Mincho" w:hAnsi="Calibri" w:cs="Times New Roman"/>
                <w:sz w:val="24"/>
                <w:szCs w:val="24"/>
                <w:lang w:eastAsia="ja-JP"/>
              </w:rPr>
            </w:pPr>
            <w:r>
              <w:rPr>
                <w:rFonts w:ascii="Calibri" w:eastAsia="MS Mincho" w:hAnsi="Calibri" w:cs="Times New Roman"/>
                <w:sz w:val="24"/>
                <w:szCs w:val="24"/>
                <w:lang w:eastAsia="ja-JP"/>
              </w:rPr>
              <w:t>1.7.7</w:t>
            </w:r>
          </w:p>
          <w:p w:rsidR="00A7761D" w:rsidRPr="00F37498" w:rsidRDefault="00A7761D" w:rsidP="00701671">
            <w:pPr>
              <w:adjustRightInd/>
              <w:spacing w:line="240" w:lineRule="auto"/>
              <w:jc w:val="both"/>
              <w:rPr>
                <w:rFonts w:ascii="Calibri" w:eastAsia="MS Mincho" w:hAnsi="Calibri" w:cs="Times New Roman"/>
                <w:sz w:val="24"/>
                <w:szCs w:val="24"/>
                <w:lang w:eastAsia="ja-JP"/>
              </w:rPr>
            </w:pPr>
          </w:p>
        </w:tc>
        <w:tc>
          <w:tcPr>
            <w:tcW w:w="7858" w:type="dxa"/>
            <w:shd w:val="clear" w:color="auto" w:fill="auto"/>
          </w:tcPr>
          <w:p w:rsidR="00A7761D" w:rsidRPr="00AC31E5" w:rsidRDefault="00A7761D" w:rsidP="00701671">
            <w:pPr>
              <w:adjustRightInd/>
              <w:spacing w:line="240" w:lineRule="auto"/>
              <w:jc w:val="both"/>
              <w:rPr>
                <w:rFonts w:ascii="Calibri" w:eastAsia="MS Mincho" w:hAnsi="Calibri" w:cs="Times New Roman"/>
                <w:sz w:val="24"/>
                <w:szCs w:val="24"/>
                <w:lang w:eastAsia="ja-JP"/>
              </w:rPr>
            </w:pPr>
            <w:r w:rsidRPr="00AC31E5">
              <w:rPr>
                <w:rFonts w:ascii="Calibri" w:eastAsia="MS Mincho" w:hAnsi="Calibri" w:cs="Times New Roman"/>
                <w:sz w:val="24"/>
                <w:szCs w:val="24"/>
                <w:lang w:eastAsia="ja-JP"/>
              </w:rPr>
              <w:t>The Building Surveyor will collate, check, maintain and update as appropriate (in conjunction with the Principal Contractor) a Health and Safety file to be used post handover by the end user. This file should be in a format agreed with the commissioning Client. The Building Surveyor is to check and sign off the final information provided.</w:t>
            </w:r>
          </w:p>
        </w:tc>
      </w:tr>
    </w:tbl>
    <w:p w:rsidR="00A7761D" w:rsidRPr="000414B4" w:rsidRDefault="00A7761D" w:rsidP="00A7761D">
      <w:pPr>
        <w:adjustRightInd/>
        <w:spacing w:line="240" w:lineRule="auto"/>
        <w:ind w:left="567" w:hanging="567"/>
        <w:jc w:val="both"/>
        <w:rPr>
          <w:rFonts w:ascii="Calibri" w:eastAsia="MS Mincho" w:hAnsi="Calibri"/>
          <w:b/>
          <w:sz w:val="24"/>
          <w:szCs w:val="24"/>
          <w:lang w:eastAsia="ja-JP"/>
        </w:rPr>
      </w:pPr>
    </w:p>
    <w:p w:rsidR="00A7761D" w:rsidRDefault="00A7761D" w:rsidP="00A7761D">
      <w:pPr>
        <w:adjustRightInd/>
        <w:spacing w:line="240" w:lineRule="auto"/>
        <w:jc w:val="both"/>
        <w:rPr>
          <w:rFonts w:ascii="Calibri" w:eastAsia="Calibri" w:hAnsi="Calibri"/>
          <w:b/>
          <w:sz w:val="24"/>
          <w:szCs w:val="24"/>
          <w:u w:val="single"/>
          <w:lang w:eastAsia="en-US"/>
        </w:rPr>
      </w:pPr>
      <w:r w:rsidRPr="000414B4">
        <w:rPr>
          <w:rFonts w:ascii="Calibri" w:eastAsia="Calibri" w:hAnsi="Calibri"/>
          <w:sz w:val="24"/>
          <w:szCs w:val="24"/>
          <w:lang w:eastAsia="en-US"/>
        </w:rPr>
        <w:t>This appointment is being executed as a deed. Documentation and guidance relat</w:t>
      </w:r>
      <w:r>
        <w:rPr>
          <w:rFonts w:ascii="Calibri" w:eastAsia="Calibri" w:hAnsi="Calibri"/>
          <w:sz w:val="24"/>
          <w:szCs w:val="24"/>
          <w:lang w:eastAsia="en-US"/>
        </w:rPr>
        <w:t>ing to matters arising from the</w:t>
      </w:r>
      <w:r w:rsidRPr="000414B4">
        <w:rPr>
          <w:rFonts w:ascii="Calibri" w:eastAsia="Calibri" w:hAnsi="Calibri"/>
          <w:sz w:val="24"/>
          <w:szCs w:val="24"/>
          <w:lang w:eastAsia="en-US"/>
        </w:rPr>
        <w:t xml:space="preserve"> Building Contract may be sought for the full term of the deed.</w:t>
      </w:r>
    </w:p>
    <w:p w:rsidR="00A7761D" w:rsidRPr="00F92D87" w:rsidRDefault="00A7761D" w:rsidP="00A7761D">
      <w:pPr>
        <w:adjustRightInd/>
        <w:spacing w:line="240" w:lineRule="auto"/>
        <w:jc w:val="both"/>
        <w:rPr>
          <w:rFonts w:ascii="Calibri" w:eastAsia="Calibri" w:hAnsi="Calibri"/>
          <w:b/>
          <w:sz w:val="24"/>
          <w:szCs w:val="24"/>
          <w:u w:val="single"/>
          <w:lang w:eastAsia="en-US"/>
        </w:rPr>
      </w:pPr>
    </w:p>
    <w:p w:rsidR="00A7761D" w:rsidRPr="00977ABA" w:rsidRDefault="00A7761D" w:rsidP="00A7761D">
      <w:pPr>
        <w:adjustRightInd/>
        <w:spacing w:after="200"/>
        <w:jc w:val="center"/>
        <w:rPr>
          <w:rFonts w:ascii="Calibri" w:eastAsia="Calibri" w:hAnsi="Calibri" w:cs="Calibri"/>
          <w:b/>
          <w:sz w:val="24"/>
          <w:szCs w:val="24"/>
          <w:lang w:eastAsia="en-US"/>
        </w:rPr>
      </w:pPr>
      <w:r>
        <w:rPr>
          <w:rFonts w:ascii="Calibri" w:eastAsia="Calibri" w:hAnsi="Calibri" w:cs="Calibri"/>
          <w:b/>
          <w:noProof/>
          <w:sz w:val="24"/>
          <w:szCs w:val="24"/>
        </w:rPr>
        <w:lastRenderedPageBreak/>
        <w:drawing>
          <wp:inline distT="0" distB="0" distL="0" distR="0">
            <wp:extent cx="1431925" cy="1431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rsidR="00A7761D" w:rsidRPr="00977ABA" w:rsidRDefault="00A7761D" w:rsidP="00A7761D">
      <w:pPr>
        <w:adjustRightInd/>
        <w:spacing w:after="200"/>
        <w:jc w:val="center"/>
        <w:rPr>
          <w:rFonts w:ascii="Calibri" w:eastAsia="Calibri" w:hAnsi="Calibri" w:cs="Calibri"/>
          <w:b/>
          <w:sz w:val="24"/>
          <w:szCs w:val="24"/>
          <w:lang w:eastAsia="en-US"/>
        </w:rPr>
      </w:pPr>
      <w:r w:rsidRPr="00977ABA">
        <w:rPr>
          <w:rFonts w:ascii="Calibri" w:eastAsia="Calibri" w:hAnsi="Calibri" w:cs="Calibri"/>
          <w:b/>
          <w:sz w:val="24"/>
          <w:szCs w:val="24"/>
          <w:lang w:eastAsia="en-US"/>
        </w:rPr>
        <w:t>Appendix 1</w:t>
      </w:r>
    </w:p>
    <w:p w:rsidR="00A7761D" w:rsidRPr="00977ABA" w:rsidRDefault="00A7761D" w:rsidP="00A7761D">
      <w:pPr>
        <w:adjustRightInd/>
        <w:spacing w:after="200"/>
        <w:jc w:val="center"/>
        <w:rPr>
          <w:rFonts w:ascii="Calibri" w:eastAsia="Calibri" w:hAnsi="Calibri" w:cs="Calibri"/>
          <w:b/>
          <w:sz w:val="24"/>
          <w:szCs w:val="24"/>
          <w:lang w:eastAsia="en-US"/>
        </w:rPr>
      </w:pPr>
      <w:r w:rsidRPr="00977ABA">
        <w:rPr>
          <w:rFonts w:ascii="Calibri" w:eastAsia="Calibri" w:hAnsi="Calibri" w:cs="Calibri"/>
          <w:b/>
          <w:sz w:val="24"/>
          <w:szCs w:val="24"/>
          <w:lang w:eastAsia="en-US"/>
        </w:rPr>
        <w:t>Value for Money (VFM) / Tender Report –Standard Template</w:t>
      </w:r>
    </w:p>
    <w:p w:rsidR="00A7761D" w:rsidRPr="00977ABA" w:rsidRDefault="00A7761D" w:rsidP="00A7761D">
      <w:pPr>
        <w:adjustRightInd/>
        <w:spacing w:line="240" w:lineRule="auto"/>
        <w:rPr>
          <w:rFonts w:ascii="Calibri" w:eastAsia="Times New Roman" w:hAnsi="Calibri" w:cs="Calibri"/>
          <w:sz w:val="24"/>
          <w:szCs w:val="24"/>
        </w:rPr>
      </w:pPr>
      <w:r w:rsidRPr="00977ABA">
        <w:rPr>
          <w:rFonts w:ascii="Calibri" w:eastAsia="Times New Roman" w:hAnsi="Calibri" w:cs="Calibri"/>
          <w:sz w:val="24"/>
          <w:szCs w:val="24"/>
        </w:rPr>
        <w:t>The Consultant’s Tender / VFM Report should cover the following matters as required for issue to for the Client for approval (amended to suit the project):</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CONTENTS</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1) Introduction</w:t>
      </w:r>
    </w:p>
    <w:p w:rsidR="00A7761D" w:rsidRPr="00977ABA" w:rsidRDefault="00A7761D" w:rsidP="00A7761D">
      <w:pPr>
        <w:numPr>
          <w:ilvl w:val="0"/>
          <w:numId w:val="11"/>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Project background</w:t>
      </w:r>
    </w:p>
    <w:p w:rsidR="00A7761D" w:rsidRPr="00977ABA" w:rsidRDefault="00A7761D" w:rsidP="00A7761D">
      <w:pPr>
        <w:numPr>
          <w:ilvl w:val="0"/>
          <w:numId w:val="11"/>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 xml:space="preserve">Name of </w:t>
      </w:r>
      <w:r>
        <w:rPr>
          <w:rFonts w:ascii="Calibri" w:eastAsia="Times New Roman" w:hAnsi="Calibri" w:cs="Calibri"/>
          <w:sz w:val="24"/>
          <w:szCs w:val="24"/>
        </w:rPr>
        <w:t xml:space="preserve">Principal </w:t>
      </w:r>
      <w:r w:rsidRPr="00977ABA">
        <w:rPr>
          <w:rFonts w:ascii="Calibri" w:eastAsia="Times New Roman" w:hAnsi="Calibri" w:cs="Calibri"/>
          <w:sz w:val="24"/>
          <w:szCs w:val="24"/>
        </w:rPr>
        <w:t>Contractor / Architect / Engineer / Principal Designer (full directory not required)</w:t>
      </w:r>
    </w:p>
    <w:p w:rsidR="00A7761D" w:rsidRPr="00977ABA" w:rsidRDefault="00A7761D" w:rsidP="00A7761D">
      <w:pPr>
        <w:numPr>
          <w:ilvl w:val="0"/>
          <w:numId w:val="11"/>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Summary details of the scheme including mix and tenure</w:t>
      </w:r>
    </w:p>
    <w:p w:rsidR="00A7761D" w:rsidRPr="00977ABA" w:rsidRDefault="00A7761D" w:rsidP="00A7761D">
      <w:pPr>
        <w:numPr>
          <w:ilvl w:val="0"/>
          <w:numId w:val="11"/>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Summary of selected procurement route (negotiated or tender)</w:t>
      </w:r>
    </w:p>
    <w:p w:rsidR="00A7761D" w:rsidRPr="00977ABA" w:rsidRDefault="00A7761D" w:rsidP="00A7761D">
      <w:pPr>
        <w:adjustRightInd/>
        <w:spacing w:line="240" w:lineRule="auto"/>
        <w:rPr>
          <w:rFonts w:ascii="Calibri" w:eastAsia="Times New Roman" w:hAnsi="Calibri" w:cs="Calibri"/>
          <w:b/>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2) Key Contract Information</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Form of Contract</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Contract period</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Date of possession</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Date for completion</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Liquidated and Ascertained Damages / week</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Insurance of Works</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Payment periods</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Rectification Period</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 xml:space="preserve">Performance Bond, Parent Company Guarantee </w:t>
      </w:r>
      <w:r>
        <w:rPr>
          <w:rFonts w:ascii="Calibri" w:eastAsia="Times New Roman" w:hAnsi="Calibri" w:cs="Calibri"/>
          <w:sz w:val="24"/>
          <w:szCs w:val="24"/>
        </w:rPr>
        <w:t xml:space="preserve">Principal </w:t>
      </w:r>
      <w:r w:rsidRPr="00977ABA">
        <w:rPr>
          <w:rFonts w:ascii="Calibri" w:eastAsia="Times New Roman" w:hAnsi="Calibri" w:cs="Calibri"/>
          <w:sz w:val="24"/>
          <w:szCs w:val="24"/>
        </w:rPr>
        <w:t>Contractor Insolvency cover provision</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Building Warranty provider</w:t>
      </w:r>
    </w:p>
    <w:p w:rsidR="00A7761D" w:rsidRPr="00977ABA" w:rsidRDefault="00A7761D" w:rsidP="00A7761D">
      <w:pPr>
        <w:numPr>
          <w:ilvl w:val="0"/>
          <w:numId w:val="18"/>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Retentions</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3) Tendering procedure</w:t>
      </w:r>
    </w:p>
    <w:p w:rsidR="00A7761D" w:rsidRPr="00977ABA" w:rsidRDefault="00A7761D" w:rsidP="00A7761D">
      <w:pPr>
        <w:adjustRightInd/>
        <w:spacing w:line="240" w:lineRule="auto"/>
        <w:rPr>
          <w:rFonts w:ascii="Calibri" w:eastAsia="Times New Roman" w:hAnsi="Calibri" w:cs="Calibri"/>
          <w:sz w:val="24"/>
          <w:szCs w:val="24"/>
        </w:rPr>
      </w:pPr>
      <w:r w:rsidRPr="00977ABA">
        <w:rPr>
          <w:rFonts w:ascii="Calibri" w:eastAsia="Times New Roman" w:hAnsi="Calibri" w:cs="Calibri"/>
          <w:sz w:val="24"/>
          <w:szCs w:val="24"/>
        </w:rPr>
        <w:t>To include commentary on</w:t>
      </w:r>
    </w:p>
    <w:p w:rsidR="00A7761D" w:rsidRPr="00977ABA" w:rsidRDefault="00A7761D" w:rsidP="00A7761D">
      <w:pPr>
        <w:numPr>
          <w:ilvl w:val="0"/>
          <w:numId w:val="15"/>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Tender list</w:t>
      </w:r>
    </w:p>
    <w:p w:rsidR="00A7761D" w:rsidRPr="00977ABA" w:rsidRDefault="00A7761D" w:rsidP="00A7761D">
      <w:pPr>
        <w:numPr>
          <w:ilvl w:val="0"/>
          <w:numId w:val="15"/>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Tender documentation issued / survey information</w:t>
      </w:r>
    </w:p>
    <w:p w:rsidR="00A7761D" w:rsidRPr="00977ABA" w:rsidRDefault="00A7761D" w:rsidP="00A7761D">
      <w:pPr>
        <w:numPr>
          <w:ilvl w:val="0"/>
          <w:numId w:val="15"/>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Basis of tenders issued and procurement route (</w:t>
      </w:r>
      <w:proofErr w:type="spellStart"/>
      <w:r w:rsidRPr="00977ABA">
        <w:rPr>
          <w:rFonts w:ascii="Calibri" w:eastAsia="Times New Roman" w:hAnsi="Calibri" w:cs="Calibri"/>
          <w:sz w:val="24"/>
          <w:szCs w:val="24"/>
        </w:rPr>
        <w:t>inc</w:t>
      </w:r>
      <w:proofErr w:type="spellEnd"/>
      <w:r w:rsidRPr="00977ABA">
        <w:rPr>
          <w:rFonts w:ascii="Calibri" w:eastAsia="Times New Roman" w:hAnsi="Calibri" w:cs="Calibri"/>
          <w:sz w:val="24"/>
          <w:szCs w:val="24"/>
        </w:rPr>
        <w:t xml:space="preserve"> details of negotiated routes on/off framework)</w:t>
      </w:r>
    </w:p>
    <w:p w:rsidR="00A7761D" w:rsidRPr="00977ABA" w:rsidRDefault="00A7761D" w:rsidP="00A7761D">
      <w:pPr>
        <w:numPr>
          <w:ilvl w:val="0"/>
          <w:numId w:val="15"/>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Submission date / tender valid until date</w:t>
      </w:r>
    </w:p>
    <w:p w:rsidR="00A7761D" w:rsidRPr="00977ABA" w:rsidRDefault="00A7761D" w:rsidP="00A7761D">
      <w:pPr>
        <w:numPr>
          <w:ilvl w:val="0"/>
          <w:numId w:val="15"/>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PD appointment / principal contractor competency / F10 status</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4) Current Tendering Climate.</w:t>
      </w:r>
    </w:p>
    <w:p w:rsidR="00A7761D" w:rsidRPr="00977ABA" w:rsidRDefault="00A7761D" w:rsidP="00A7761D">
      <w:pPr>
        <w:numPr>
          <w:ilvl w:val="0"/>
          <w:numId w:val="15"/>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 xml:space="preserve">Commentary on recent tenders, BCIS inflation forecast </w:t>
      </w:r>
      <w:proofErr w:type="spellStart"/>
      <w:r w:rsidRPr="00977ABA">
        <w:rPr>
          <w:rFonts w:ascii="Calibri" w:eastAsia="Times New Roman" w:hAnsi="Calibri" w:cs="Calibri"/>
          <w:sz w:val="24"/>
          <w:szCs w:val="24"/>
        </w:rPr>
        <w:t>etc</w:t>
      </w:r>
      <w:proofErr w:type="spellEnd"/>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5) Evaluation of tender offer</w:t>
      </w:r>
    </w:p>
    <w:p w:rsidR="00A7761D" w:rsidRPr="00977ABA" w:rsidRDefault="00A7761D" w:rsidP="00A7761D">
      <w:pPr>
        <w:adjustRightInd/>
        <w:spacing w:line="240" w:lineRule="auto"/>
        <w:rPr>
          <w:rFonts w:ascii="Calibri" w:eastAsia="Times New Roman" w:hAnsi="Calibri" w:cs="Calibri"/>
          <w:sz w:val="24"/>
          <w:szCs w:val="24"/>
        </w:rPr>
      </w:pPr>
      <w:r w:rsidRPr="00977ABA">
        <w:rPr>
          <w:rFonts w:ascii="Calibri" w:eastAsia="Times New Roman" w:hAnsi="Calibri" w:cs="Calibri"/>
          <w:sz w:val="24"/>
          <w:szCs w:val="24"/>
        </w:rPr>
        <w:t>Detailed analysis of tender costs including comments on:</w:t>
      </w:r>
    </w:p>
    <w:p w:rsidR="00A7761D" w:rsidRPr="00977ABA" w:rsidRDefault="00A7761D" w:rsidP="00A7761D">
      <w:pPr>
        <w:numPr>
          <w:ilvl w:val="0"/>
          <w:numId w:val="16"/>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Contractor’s tender sum analysis</w:t>
      </w:r>
    </w:p>
    <w:p w:rsidR="00A7761D" w:rsidRPr="00977ABA" w:rsidRDefault="00A7761D" w:rsidP="00A7761D">
      <w:pPr>
        <w:numPr>
          <w:ilvl w:val="0"/>
          <w:numId w:val="16"/>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Process of negotiations where required</w:t>
      </w:r>
    </w:p>
    <w:p w:rsidR="00A7761D" w:rsidRPr="00977ABA" w:rsidRDefault="00A7761D" w:rsidP="00A7761D">
      <w:pPr>
        <w:numPr>
          <w:ilvl w:val="0"/>
          <w:numId w:val="16"/>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Comparison with estimate /  cost plan / budget</w:t>
      </w:r>
    </w:p>
    <w:p w:rsidR="00A7761D" w:rsidRPr="00977ABA" w:rsidRDefault="00A7761D" w:rsidP="00A7761D">
      <w:pPr>
        <w:numPr>
          <w:ilvl w:val="0"/>
          <w:numId w:val="16"/>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Value for money including commentary and data on:</w:t>
      </w:r>
    </w:p>
    <w:p w:rsidR="00A7761D" w:rsidRPr="00977ABA" w:rsidRDefault="00A7761D" w:rsidP="00A7761D">
      <w:pPr>
        <w:numPr>
          <w:ilvl w:val="0"/>
          <w:numId w:val="20"/>
        </w:numPr>
        <w:adjustRightInd/>
        <w:spacing w:after="200" w:line="240" w:lineRule="auto"/>
        <w:contextualSpacing/>
        <w:rPr>
          <w:rFonts w:ascii="Calibri" w:eastAsia="Times New Roman" w:hAnsi="Calibri" w:cs="Calibri"/>
          <w:b/>
          <w:sz w:val="24"/>
          <w:szCs w:val="24"/>
        </w:rPr>
      </w:pPr>
      <w:r w:rsidRPr="00977ABA">
        <w:rPr>
          <w:rFonts w:ascii="Calibri" w:eastAsia="Times New Roman" w:hAnsi="Calibri" w:cs="Calibri"/>
          <w:sz w:val="24"/>
          <w:szCs w:val="24"/>
        </w:rPr>
        <w:t>Costs per unit and £/m2</w:t>
      </w:r>
    </w:p>
    <w:p w:rsidR="00A7761D" w:rsidRPr="00977ABA" w:rsidRDefault="00A7761D" w:rsidP="00A7761D">
      <w:pPr>
        <w:numPr>
          <w:ilvl w:val="0"/>
          <w:numId w:val="20"/>
        </w:numPr>
        <w:adjustRightInd/>
        <w:spacing w:after="200" w:line="240" w:lineRule="auto"/>
        <w:contextualSpacing/>
        <w:rPr>
          <w:rFonts w:ascii="Calibri" w:eastAsia="Times New Roman" w:hAnsi="Calibri" w:cs="Calibri"/>
          <w:b/>
          <w:sz w:val="24"/>
          <w:szCs w:val="24"/>
        </w:rPr>
      </w:pPr>
      <w:r w:rsidRPr="00977ABA">
        <w:rPr>
          <w:rFonts w:ascii="Calibri" w:eastAsia="Times New Roman" w:hAnsi="Calibri" w:cs="Calibri"/>
          <w:sz w:val="24"/>
          <w:szCs w:val="24"/>
        </w:rPr>
        <w:t>Distribution of costs by element %</w:t>
      </w:r>
    </w:p>
    <w:p w:rsidR="00A7761D" w:rsidRPr="00977ABA" w:rsidRDefault="00A7761D" w:rsidP="00A7761D">
      <w:pPr>
        <w:numPr>
          <w:ilvl w:val="0"/>
          <w:numId w:val="20"/>
        </w:numPr>
        <w:adjustRightInd/>
        <w:spacing w:after="200" w:line="240" w:lineRule="auto"/>
        <w:contextualSpacing/>
        <w:rPr>
          <w:rFonts w:ascii="Calibri" w:eastAsia="Times New Roman" w:hAnsi="Calibri" w:cs="Calibri"/>
          <w:sz w:val="24"/>
          <w:szCs w:val="24"/>
          <w:u w:val="single"/>
        </w:rPr>
      </w:pPr>
      <w:r w:rsidRPr="00977ABA">
        <w:rPr>
          <w:rFonts w:ascii="Calibri" w:eastAsia="Times New Roman" w:hAnsi="Calibri" w:cs="Calibri"/>
          <w:sz w:val="24"/>
          <w:szCs w:val="24"/>
          <w:u w:val="single"/>
        </w:rPr>
        <w:t>Benchmarking analysis against ICN schemes and other relevant and comparable cost data available (i.e. BCIS index, other RP projects)</w:t>
      </w:r>
    </w:p>
    <w:p w:rsidR="00A7761D" w:rsidRPr="00977ABA" w:rsidRDefault="00A7761D" w:rsidP="00A7761D">
      <w:pPr>
        <w:numPr>
          <w:ilvl w:val="0"/>
          <w:numId w:val="20"/>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Provisional Sums</w:t>
      </w:r>
    </w:p>
    <w:p w:rsidR="00A7761D" w:rsidRPr="00977ABA" w:rsidRDefault="00A7761D" w:rsidP="00A7761D">
      <w:pPr>
        <w:numPr>
          <w:ilvl w:val="0"/>
          <w:numId w:val="20"/>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Preliminaries costs / OH&amp;P / fees and charges</w:t>
      </w:r>
    </w:p>
    <w:p w:rsidR="00A7761D" w:rsidRPr="00977ABA" w:rsidRDefault="00A7761D" w:rsidP="00A7761D">
      <w:pPr>
        <w:numPr>
          <w:ilvl w:val="0"/>
          <w:numId w:val="20"/>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Summary / commentary on abnormal cost elements</w:t>
      </w:r>
    </w:p>
    <w:p w:rsidR="00A7761D" w:rsidRPr="00977ABA" w:rsidRDefault="00A7761D" w:rsidP="00A7761D">
      <w:pPr>
        <w:numPr>
          <w:ilvl w:val="0"/>
          <w:numId w:val="21"/>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Comparison with budget cost plan  / pre-tender estimate</w:t>
      </w:r>
    </w:p>
    <w:p w:rsidR="00A7761D" w:rsidRPr="00977ABA" w:rsidRDefault="00A7761D" w:rsidP="00A7761D">
      <w:pPr>
        <w:numPr>
          <w:ilvl w:val="0"/>
          <w:numId w:val="13"/>
        </w:numPr>
        <w:adjustRightInd/>
        <w:spacing w:after="200" w:line="240" w:lineRule="auto"/>
        <w:contextualSpacing/>
        <w:rPr>
          <w:rFonts w:ascii="Calibri" w:eastAsia="Times New Roman" w:hAnsi="Calibri" w:cs="Calibri"/>
          <w:b/>
          <w:sz w:val="24"/>
          <w:szCs w:val="24"/>
        </w:rPr>
      </w:pPr>
      <w:r w:rsidRPr="00977ABA">
        <w:rPr>
          <w:rFonts w:ascii="Calibri" w:eastAsia="Times New Roman" w:hAnsi="Calibri" w:cs="Calibri"/>
          <w:sz w:val="24"/>
          <w:szCs w:val="24"/>
        </w:rPr>
        <w:t>Tender qualifications / clarifications and client risks</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6) Tender Offer</w:t>
      </w:r>
    </w:p>
    <w:p w:rsidR="00A7761D" w:rsidRPr="00977ABA" w:rsidRDefault="00A7761D" w:rsidP="00A7761D">
      <w:pPr>
        <w:adjustRightInd/>
        <w:spacing w:line="240" w:lineRule="auto"/>
        <w:rPr>
          <w:rFonts w:ascii="Calibri" w:eastAsia="Times New Roman" w:hAnsi="Calibri" w:cs="Calibri"/>
          <w:sz w:val="24"/>
          <w:szCs w:val="24"/>
        </w:rPr>
      </w:pPr>
      <w:r w:rsidRPr="00977ABA">
        <w:rPr>
          <w:rFonts w:ascii="Calibri" w:eastAsia="Times New Roman" w:hAnsi="Calibri" w:cs="Calibri"/>
          <w:sz w:val="24"/>
          <w:szCs w:val="24"/>
        </w:rPr>
        <w:t>To include:</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 xml:space="preserve">Split of Construction/Contractor On-costs to comply with Homes England(HE) cost reporting requirements. A copy of the following table populated with the breakdown of Total Works Costs to be included with the Tender / VFM Report. </w:t>
      </w:r>
    </w:p>
    <w:p w:rsidR="00A7761D" w:rsidRPr="00977ABA" w:rsidRDefault="00A7761D" w:rsidP="00A7761D">
      <w:pPr>
        <w:adjustRightInd/>
        <w:spacing w:line="240" w:lineRule="auto"/>
        <w:ind w:left="720"/>
        <w:contextualSpacing/>
        <w:rPr>
          <w:rFonts w:ascii="Calibri" w:eastAsia="Times New Roman" w:hAnsi="Calibri" w:cs="Calibri"/>
          <w:i/>
          <w:sz w:val="24"/>
          <w:szCs w:val="24"/>
        </w:rPr>
      </w:pPr>
      <w:r w:rsidRPr="00977ABA">
        <w:rPr>
          <w:rFonts w:ascii="Calibri" w:eastAsia="Times New Roman" w:hAnsi="Calibri" w:cs="Calibri"/>
          <w:i/>
          <w:sz w:val="24"/>
          <w:szCs w:val="24"/>
        </w:rPr>
        <w:t xml:space="preserve">NB: If for a mixed tenure scheme contractors tender costs are split by tenure or HE grant is to be claimed in phases the consultant is to agree approach to split of costs for reporting with the Client. </w:t>
      </w:r>
    </w:p>
    <w:p w:rsidR="00A7761D" w:rsidRPr="00977ABA" w:rsidRDefault="00A7761D" w:rsidP="00A7761D">
      <w:pPr>
        <w:adjustRightInd/>
        <w:spacing w:line="240" w:lineRule="auto"/>
        <w:ind w:left="720"/>
        <w:contextualSpacing/>
        <w:rPr>
          <w:rFonts w:ascii="Calibri" w:eastAsia="Times New Roman" w:hAnsi="Calibri" w:cs="Calibri"/>
          <w:i/>
          <w:sz w:val="24"/>
          <w:szCs w:val="24"/>
        </w:rPr>
      </w:pPr>
    </w:p>
    <w:p w:rsidR="00A7761D" w:rsidRPr="00977ABA" w:rsidRDefault="00A7761D" w:rsidP="00A7761D">
      <w:pPr>
        <w:adjustRightInd/>
        <w:spacing w:line="240" w:lineRule="auto"/>
        <w:ind w:left="720"/>
        <w:contextualSpacing/>
        <w:rPr>
          <w:rFonts w:ascii="Calibri" w:eastAsia="Times New Roman" w:hAnsi="Calibri" w:cs="Calibri"/>
          <w:i/>
          <w:sz w:val="24"/>
          <w:szCs w:val="24"/>
        </w:rPr>
      </w:pPr>
    </w:p>
    <w:p w:rsidR="00A7761D" w:rsidRPr="00977ABA" w:rsidRDefault="00A7761D" w:rsidP="00A7761D">
      <w:pPr>
        <w:adjustRightInd/>
        <w:spacing w:line="240" w:lineRule="auto"/>
        <w:rPr>
          <w:rFonts w:ascii="Calibri" w:eastAsia="Times New Roman" w:hAnsi="Calibri" w:cs="Calibri"/>
          <w:sz w:val="24"/>
          <w:szCs w:val="24"/>
        </w:rPr>
      </w:pPr>
    </w:p>
    <w:tbl>
      <w:tblPr>
        <w:tblW w:w="10144"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90"/>
        <w:gridCol w:w="1537"/>
        <w:gridCol w:w="1701"/>
        <w:gridCol w:w="1582"/>
        <w:gridCol w:w="907"/>
      </w:tblGrid>
      <w:tr w:rsidR="00A7761D" w:rsidRPr="00977ABA" w:rsidTr="00701671">
        <w:trPr>
          <w:trHeight w:val="1035"/>
          <w:jc w:val="center"/>
        </w:trPr>
        <w:tc>
          <w:tcPr>
            <w:tcW w:w="3227" w:type="dxa"/>
            <w:shd w:val="clear" w:color="auto" w:fill="auto"/>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IMS Capital Cost </w:t>
            </w:r>
          </w:p>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Element </w:t>
            </w:r>
          </w:p>
        </w:tc>
        <w:tc>
          <w:tcPr>
            <w:tcW w:w="1190" w:type="dxa"/>
            <w:shd w:val="clear" w:color="auto" w:fill="auto"/>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Houses (Rental) </w:t>
            </w:r>
          </w:p>
        </w:tc>
        <w:tc>
          <w:tcPr>
            <w:tcW w:w="1537" w:type="dxa"/>
            <w:shd w:val="clear" w:color="auto" w:fill="auto"/>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House  (Shared Ownership)  </w:t>
            </w:r>
          </w:p>
        </w:tc>
        <w:tc>
          <w:tcPr>
            <w:tcW w:w="1701" w:type="dxa"/>
            <w:shd w:val="clear" w:color="auto" w:fill="auto"/>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Apartments (Rental) </w:t>
            </w:r>
          </w:p>
        </w:tc>
        <w:tc>
          <w:tcPr>
            <w:tcW w:w="1582" w:type="dxa"/>
            <w:shd w:val="clear" w:color="auto" w:fill="auto"/>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Apartments (Shared Ownership) </w:t>
            </w:r>
          </w:p>
        </w:tc>
        <w:tc>
          <w:tcPr>
            <w:tcW w:w="907" w:type="dxa"/>
            <w:shd w:val="clear" w:color="auto" w:fill="auto"/>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Total  </w:t>
            </w:r>
          </w:p>
        </w:tc>
      </w:tr>
      <w:tr w:rsidR="00A7761D" w:rsidRPr="00977ABA" w:rsidTr="00701671">
        <w:trPr>
          <w:trHeight w:val="315"/>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190" w:type="dxa"/>
            <w:shd w:val="clear" w:color="auto" w:fill="auto"/>
            <w:noWrap/>
            <w:hideMark/>
          </w:tcPr>
          <w:p w:rsidR="00A7761D" w:rsidRPr="001D1111" w:rsidRDefault="00A7761D" w:rsidP="00701671">
            <w:pPr>
              <w:adjustRightInd/>
              <w:spacing w:after="200"/>
              <w:jc w:val="center"/>
              <w:rPr>
                <w:rFonts w:ascii="Calibri" w:eastAsia="Times New Roman" w:hAnsi="Calibri" w:cs="Calibri"/>
                <w:sz w:val="20"/>
                <w:szCs w:val="20"/>
              </w:rPr>
            </w:pPr>
            <w:r w:rsidRPr="001D1111">
              <w:rPr>
                <w:rFonts w:ascii="Calibri" w:eastAsia="Times New Roman" w:hAnsi="Calibri" w:cs="Calibri"/>
                <w:sz w:val="20"/>
                <w:szCs w:val="20"/>
              </w:rPr>
              <w:t>£</w:t>
            </w:r>
          </w:p>
        </w:tc>
        <w:tc>
          <w:tcPr>
            <w:tcW w:w="1537" w:type="dxa"/>
            <w:shd w:val="clear" w:color="auto" w:fill="auto"/>
            <w:noWrap/>
            <w:hideMark/>
          </w:tcPr>
          <w:p w:rsidR="00A7761D" w:rsidRPr="001D1111" w:rsidRDefault="00A7761D" w:rsidP="00701671">
            <w:pPr>
              <w:adjustRightInd/>
              <w:spacing w:after="200"/>
              <w:jc w:val="center"/>
              <w:rPr>
                <w:rFonts w:ascii="Calibri" w:eastAsia="Times New Roman" w:hAnsi="Calibri" w:cs="Calibri"/>
                <w:sz w:val="20"/>
                <w:szCs w:val="20"/>
              </w:rPr>
            </w:pPr>
            <w:r w:rsidRPr="001D1111">
              <w:rPr>
                <w:rFonts w:ascii="Calibri" w:eastAsia="Times New Roman" w:hAnsi="Calibri" w:cs="Calibri"/>
                <w:sz w:val="20"/>
                <w:szCs w:val="20"/>
              </w:rPr>
              <w:t>£</w:t>
            </w:r>
          </w:p>
        </w:tc>
        <w:tc>
          <w:tcPr>
            <w:tcW w:w="1701" w:type="dxa"/>
            <w:shd w:val="clear" w:color="auto" w:fill="auto"/>
            <w:noWrap/>
            <w:hideMark/>
          </w:tcPr>
          <w:p w:rsidR="00A7761D" w:rsidRPr="001D1111" w:rsidRDefault="00A7761D" w:rsidP="00701671">
            <w:pPr>
              <w:adjustRightInd/>
              <w:spacing w:after="200"/>
              <w:jc w:val="center"/>
              <w:rPr>
                <w:rFonts w:ascii="Calibri" w:eastAsia="Times New Roman" w:hAnsi="Calibri" w:cs="Calibri"/>
                <w:sz w:val="20"/>
                <w:szCs w:val="20"/>
              </w:rPr>
            </w:pPr>
            <w:r w:rsidRPr="001D1111">
              <w:rPr>
                <w:rFonts w:ascii="Calibri" w:eastAsia="Times New Roman" w:hAnsi="Calibri" w:cs="Calibri"/>
                <w:sz w:val="20"/>
                <w:szCs w:val="20"/>
              </w:rPr>
              <w:t>£</w:t>
            </w:r>
          </w:p>
        </w:tc>
        <w:tc>
          <w:tcPr>
            <w:tcW w:w="1582" w:type="dxa"/>
            <w:shd w:val="clear" w:color="auto" w:fill="auto"/>
            <w:noWrap/>
            <w:hideMark/>
          </w:tcPr>
          <w:p w:rsidR="00A7761D" w:rsidRPr="001D1111" w:rsidRDefault="00A7761D" w:rsidP="00701671">
            <w:pPr>
              <w:adjustRightInd/>
              <w:spacing w:after="200"/>
              <w:jc w:val="center"/>
              <w:rPr>
                <w:rFonts w:ascii="Calibri" w:eastAsia="Times New Roman" w:hAnsi="Calibri" w:cs="Calibri"/>
                <w:sz w:val="20"/>
                <w:szCs w:val="20"/>
              </w:rPr>
            </w:pPr>
            <w:r w:rsidRPr="001D1111">
              <w:rPr>
                <w:rFonts w:ascii="Calibri" w:eastAsia="Times New Roman" w:hAnsi="Calibri" w:cs="Calibri"/>
                <w:sz w:val="20"/>
                <w:szCs w:val="20"/>
              </w:rPr>
              <w:t>£</w:t>
            </w:r>
          </w:p>
        </w:tc>
        <w:tc>
          <w:tcPr>
            <w:tcW w:w="907" w:type="dxa"/>
            <w:shd w:val="clear" w:color="auto" w:fill="auto"/>
            <w:noWrap/>
            <w:hideMark/>
          </w:tcPr>
          <w:p w:rsidR="00A7761D" w:rsidRPr="001D1111" w:rsidRDefault="00A7761D" w:rsidP="00701671">
            <w:pPr>
              <w:adjustRightInd/>
              <w:spacing w:after="200"/>
              <w:jc w:val="center"/>
              <w:rPr>
                <w:rFonts w:ascii="Calibri" w:eastAsia="Times New Roman" w:hAnsi="Calibri" w:cs="Calibri"/>
                <w:sz w:val="20"/>
                <w:szCs w:val="20"/>
              </w:rPr>
            </w:pPr>
            <w:r w:rsidRPr="001D1111">
              <w:rPr>
                <w:rFonts w:ascii="Calibri" w:eastAsia="Times New Roman" w:hAnsi="Calibri" w:cs="Calibri"/>
                <w:sz w:val="20"/>
                <w:szCs w:val="20"/>
              </w:rPr>
              <w:t>£</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u w:val="single"/>
              </w:rPr>
            </w:pPr>
            <w:r w:rsidRPr="001D1111">
              <w:rPr>
                <w:rFonts w:ascii="Calibri" w:eastAsia="Times New Roman" w:hAnsi="Calibri" w:cs="Calibri"/>
                <w:sz w:val="20"/>
                <w:szCs w:val="20"/>
                <w:u w:val="single"/>
              </w:rPr>
              <w:t>Main works costs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Superstructure</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15"/>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Substructure</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u w:val="single"/>
              </w:rPr>
            </w:pPr>
            <w:r w:rsidRPr="001D1111">
              <w:rPr>
                <w:rFonts w:ascii="Calibri" w:eastAsia="Times New Roman" w:hAnsi="Calibri" w:cs="Calibri"/>
                <w:sz w:val="20"/>
                <w:szCs w:val="20"/>
                <w:u w:val="single"/>
              </w:rPr>
              <w:t>Supplementary works costs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Facilitating works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lastRenderedPageBreak/>
              <w:t>Finishes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Fittings, furnishings and equipment</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Services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Prefabricated Buildings and building units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Works to existing building</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External works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u w:val="single"/>
              </w:rPr>
            </w:pPr>
            <w:r w:rsidRPr="001D1111">
              <w:rPr>
                <w:rFonts w:ascii="Calibri" w:eastAsia="Times New Roman" w:hAnsi="Calibri" w:cs="Calibri"/>
                <w:sz w:val="20"/>
                <w:szCs w:val="20"/>
                <w:u w:val="single"/>
              </w:rPr>
              <w:t>Associated Works Costs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Main Contractor’s Preliminaries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Main Contractor’s Overheads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Main Contractor’s Profit</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Risk (Client contingencies)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u w:val="single"/>
              </w:rPr>
            </w:pPr>
            <w:r w:rsidRPr="001D1111">
              <w:rPr>
                <w:rFonts w:ascii="Calibri" w:eastAsia="Times New Roman" w:hAnsi="Calibri" w:cs="Calibri"/>
                <w:sz w:val="20"/>
                <w:szCs w:val="20"/>
                <w:u w:val="single"/>
              </w:rPr>
              <w:t>On Costs*</w:t>
            </w:r>
          </w:p>
        </w:tc>
        <w:tc>
          <w:tcPr>
            <w:tcW w:w="1190"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tcBorders>
              <w:bottom w:val="single" w:sz="4" w:space="0" w:color="auto"/>
            </w:tcBorders>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Contractors Project/Design Team Fees</w:t>
            </w:r>
          </w:p>
        </w:tc>
        <w:tc>
          <w:tcPr>
            <w:tcW w:w="1190" w:type="dxa"/>
            <w:tcBorders>
              <w:bottom w:val="single" w:sz="4" w:space="0" w:color="auto"/>
            </w:tcBorders>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37" w:type="dxa"/>
            <w:tcBorders>
              <w:bottom w:val="single" w:sz="4" w:space="0" w:color="auto"/>
            </w:tcBorders>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701" w:type="dxa"/>
            <w:tcBorders>
              <w:bottom w:val="single" w:sz="4" w:space="0" w:color="auto"/>
            </w:tcBorders>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1582" w:type="dxa"/>
            <w:tcBorders>
              <w:bottom w:val="single" w:sz="4" w:space="0" w:color="auto"/>
            </w:tcBorders>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tcBorders>
              <w:bottom w:val="single" w:sz="4" w:space="0" w:color="auto"/>
            </w:tcBorders>
            <w:shd w:val="clear"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r>
      <w:tr w:rsidR="00A7761D" w:rsidRPr="00977ABA" w:rsidTr="00701671">
        <w:trPr>
          <w:trHeight w:val="300"/>
          <w:jc w:val="center"/>
        </w:trPr>
        <w:tc>
          <w:tcPr>
            <w:tcW w:w="3227" w:type="dxa"/>
            <w:shd w:val="clear" w:color="auto" w:fill="auto"/>
            <w:noWrap/>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Total Works Costs (A)</w:t>
            </w:r>
          </w:p>
        </w:tc>
        <w:tc>
          <w:tcPr>
            <w:tcW w:w="1190" w:type="dxa"/>
            <w:shd w:val="clear" w:color="auto" w:fill="auto"/>
            <w:noWrap/>
            <w:vAlign w:val="center"/>
          </w:tcPr>
          <w:p w:rsidR="00A7761D" w:rsidRPr="001D1111" w:rsidRDefault="00A7761D" w:rsidP="00701671">
            <w:pPr>
              <w:adjustRightInd/>
              <w:spacing w:after="200"/>
              <w:rPr>
                <w:rFonts w:ascii="Calibri" w:eastAsia="Times New Roman" w:hAnsi="Calibri" w:cs="Calibri"/>
                <w:sz w:val="20"/>
                <w:szCs w:val="20"/>
              </w:rPr>
            </w:pPr>
          </w:p>
        </w:tc>
        <w:tc>
          <w:tcPr>
            <w:tcW w:w="1537" w:type="dxa"/>
            <w:shd w:val="clear" w:color="auto" w:fill="auto"/>
            <w:vAlign w:val="center"/>
          </w:tcPr>
          <w:p w:rsidR="00A7761D" w:rsidRPr="001D1111" w:rsidRDefault="00A7761D" w:rsidP="00701671">
            <w:pPr>
              <w:adjustRightInd/>
              <w:spacing w:after="200"/>
              <w:rPr>
                <w:rFonts w:ascii="Calibri" w:eastAsia="Times New Roman" w:hAnsi="Calibri" w:cs="Calibri"/>
                <w:sz w:val="20"/>
                <w:szCs w:val="20"/>
              </w:rPr>
            </w:pPr>
          </w:p>
        </w:tc>
        <w:tc>
          <w:tcPr>
            <w:tcW w:w="1701" w:type="dxa"/>
            <w:shd w:val="clear" w:color="auto" w:fill="auto"/>
            <w:vAlign w:val="center"/>
          </w:tcPr>
          <w:p w:rsidR="00A7761D" w:rsidRPr="001D1111" w:rsidRDefault="00A7761D" w:rsidP="00701671">
            <w:pPr>
              <w:adjustRightInd/>
              <w:spacing w:after="200"/>
              <w:rPr>
                <w:rFonts w:ascii="Calibri" w:eastAsia="Times New Roman" w:hAnsi="Calibri" w:cs="Calibri"/>
                <w:sz w:val="20"/>
                <w:szCs w:val="20"/>
              </w:rPr>
            </w:pPr>
          </w:p>
        </w:tc>
        <w:tc>
          <w:tcPr>
            <w:tcW w:w="1582" w:type="dxa"/>
            <w:shd w:val="clear" w:color="auto" w:fill="auto"/>
            <w:vAlign w:val="center"/>
          </w:tcPr>
          <w:p w:rsidR="00A7761D" w:rsidRPr="001D1111" w:rsidRDefault="00A7761D" w:rsidP="00701671">
            <w:pPr>
              <w:adjustRightInd/>
              <w:spacing w:after="200"/>
              <w:rPr>
                <w:rFonts w:ascii="Calibri" w:eastAsia="Times New Roman" w:hAnsi="Calibri" w:cs="Calibri"/>
                <w:sz w:val="20"/>
                <w:szCs w:val="20"/>
              </w:rPr>
            </w:pPr>
          </w:p>
        </w:tc>
        <w:tc>
          <w:tcPr>
            <w:tcW w:w="907" w:type="dxa"/>
            <w:shd w:val="clear" w:color="auto" w:fill="auto"/>
            <w:vAlign w:val="center"/>
          </w:tcPr>
          <w:p w:rsidR="00A7761D" w:rsidRPr="001D1111" w:rsidRDefault="00A7761D" w:rsidP="00701671">
            <w:pPr>
              <w:adjustRightInd/>
              <w:spacing w:after="200"/>
              <w:rPr>
                <w:rFonts w:ascii="Calibri" w:eastAsia="Times New Roman" w:hAnsi="Calibri" w:cs="Calibri"/>
                <w:sz w:val="20"/>
                <w:szCs w:val="20"/>
              </w:rPr>
            </w:pPr>
          </w:p>
        </w:tc>
      </w:tr>
      <w:tr w:rsidR="00A7761D" w:rsidRPr="00977ABA" w:rsidTr="00701671">
        <w:trPr>
          <w:trHeight w:val="300"/>
          <w:jc w:val="center"/>
        </w:trPr>
        <w:tc>
          <w:tcPr>
            <w:tcW w:w="3227" w:type="dxa"/>
            <w:tcBorders>
              <w:bottom w:val="single" w:sz="4" w:space="0" w:color="auto"/>
            </w:tcBorders>
            <w:shd w:val="pct12" w:color="auto" w:fill="auto"/>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Other development  / Project costs (excluding land acquisition) (B)</w:t>
            </w:r>
          </w:p>
        </w:tc>
        <w:tc>
          <w:tcPr>
            <w:tcW w:w="6917" w:type="dxa"/>
            <w:gridSpan w:val="5"/>
            <w:tcBorders>
              <w:bottom w:val="single" w:sz="4" w:space="0" w:color="auto"/>
            </w:tcBorders>
            <w:shd w:val="pct12" w:color="auto" w:fill="auto"/>
            <w:noWrap/>
            <w:vAlign w:val="center"/>
            <w:hideMark/>
          </w:tcPr>
          <w:p w:rsidR="00A7761D" w:rsidRPr="001D1111" w:rsidRDefault="00A7761D" w:rsidP="00701671">
            <w:pPr>
              <w:adjustRightInd/>
              <w:spacing w:after="200"/>
              <w:jc w:val="center"/>
              <w:rPr>
                <w:rFonts w:ascii="Calibri" w:eastAsia="Times New Roman" w:hAnsi="Calibri" w:cs="Calibri"/>
                <w:sz w:val="20"/>
                <w:szCs w:val="20"/>
              </w:rPr>
            </w:pPr>
            <w:r w:rsidRPr="001D1111">
              <w:rPr>
                <w:rFonts w:ascii="Calibri" w:eastAsia="Times New Roman" w:hAnsi="Calibri" w:cs="Calibri"/>
                <w:sz w:val="20"/>
                <w:szCs w:val="20"/>
              </w:rPr>
              <w:t>Client to include</w:t>
            </w:r>
          </w:p>
        </w:tc>
      </w:tr>
      <w:tr w:rsidR="00A7761D" w:rsidRPr="001D1111" w:rsidTr="00701671">
        <w:trPr>
          <w:trHeight w:val="495"/>
          <w:jc w:val="center"/>
        </w:trPr>
        <w:tc>
          <w:tcPr>
            <w:tcW w:w="3227" w:type="dxa"/>
            <w:shd w:val="clear" w:color="auto" w:fill="D9D9D9"/>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Total Scheme Costs (TSC) (A+B)</w:t>
            </w:r>
          </w:p>
        </w:tc>
        <w:tc>
          <w:tcPr>
            <w:tcW w:w="1190" w:type="dxa"/>
            <w:shd w:val="clear" w:color="auto" w:fill="D9D9D9"/>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w:t>
            </w:r>
          </w:p>
        </w:tc>
        <w:tc>
          <w:tcPr>
            <w:tcW w:w="1537" w:type="dxa"/>
            <w:shd w:val="clear" w:color="auto" w:fill="D9D9D9"/>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w:t>
            </w:r>
          </w:p>
        </w:tc>
        <w:tc>
          <w:tcPr>
            <w:tcW w:w="1701" w:type="dxa"/>
            <w:shd w:val="clear" w:color="auto" w:fill="D9D9D9"/>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w:t>
            </w:r>
          </w:p>
        </w:tc>
        <w:tc>
          <w:tcPr>
            <w:tcW w:w="1582" w:type="dxa"/>
            <w:shd w:val="clear" w:color="auto" w:fill="D9D9D9"/>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w:t>
            </w:r>
          </w:p>
        </w:tc>
        <w:tc>
          <w:tcPr>
            <w:tcW w:w="907" w:type="dxa"/>
            <w:shd w:val="clear" w:color="auto" w:fill="D9D9D9"/>
            <w:noWrap/>
            <w:hideMark/>
          </w:tcPr>
          <w:p w:rsidR="00A7761D" w:rsidRPr="001D1111" w:rsidRDefault="00A7761D" w:rsidP="00701671">
            <w:pPr>
              <w:adjustRightInd/>
              <w:spacing w:after="200"/>
              <w:rPr>
                <w:rFonts w:ascii="Calibri" w:eastAsia="Times New Roman" w:hAnsi="Calibri" w:cs="Calibri"/>
                <w:sz w:val="20"/>
                <w:szCs w:val="20"/>
              </w:rPr>
            </w:pPr>
            <w:r w:rsidRPr="001D1111">
              <w:rPr>
                <w:rFonts w:ascii="Calibri" w:eastAsia="Times New Roman" w:hAnsi="Calibri" w:cs="Calibri"/>
                <w:sz w:val="20"/>
                <w:szCs w:val="20"/>
              </w:rPr>
              <w:t xml:space="preserve">                     </w:t>
            </w:r>
          </w:p>
        </w:tc>
      </w:tr>
    </w:tbl>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i/>
          <w:sz w:val="24"/>
          <w:szCs w:val="24"/>
        </w:rPr>
      </w:pPr>
      <w:r w:rsidRPr="00977ABA">
        <w:rPr>
          <w:rFonts w:ascii="Calibri" w:eastAsia="Times New Roman" w:hAnsi="Calibri" w:cs="Calibri"/>
          <w:i/>
          <w:sz w:val="24"/>
          <w:szCs w:val="24"/>
          <w:u w:val="single"/>
        </w:rPr>
        <w:t>*Contractor On-Costs:</w:t>
      </w:r>
      <w:r w:rsidRPr="00977ABA">
        <w:rPr>
          <w:rFonts w:ascii="Calibri" w:eastAsia="Times New Roman" w:hAnsi="Calibri" w:cs="Calibri"/>
          <w:i/>
          <w:sz w:val="24"/>
          <w:szCs w:val="24"/>
        </w:rPr>
        <w:t xml:space="preserve"> The HE definition of Contractor on cost items to be split from the works costs element are:</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Consultant design fees (where incurred by the contractor under a D&amp;B contract)</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Legal fees, disbursements and expenses</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Fees for building control and planning permission</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Fees and charges associated with the Agency’s requirements relating to the energy rating of dwellings</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In-house or external consultant fees, disbursement and expenses (where incurred by the contractor under a D&amp;B contract)</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Insurance premiums including building warranty and defects / liability insurance (except contract insurance included in the works costs)</w:t>
      </w:r>
    </w:p>
    <w:p w:rsidR="00A7761D" w:rsidRPr="00977ABA" w:rsidRDefault="00A7761D" w:rsidP="00A7761D">
      <w:pPr>
        <w:numPr>
          <w:ilvl w:val="0"/>
          <w:numId w:val="12"/>
        </w:numPr>
        <w:adjustRightInd/>
        <w:spacing w:after="200" w:line="240" w:lineRule="auto"/>
        <w:contextualSpacing/>
        <w:rPr>
          <w:rFonts w:ascii="Calibri" w:eastAsia="Times New Roman" w:hAnsi="Calibri" w:cs="Calibri"/>
          <w:i/>
          <w:sz w:val="24"/>
          <w:szCs w:val="24"/>
        </w:rPr>
      </w:pPr>
      <w:r w:rsidRPr="00977ABA">
        <w:rPr>
          <w:rFonts w:ascii="Calibri" w:eastAsia="Times New Roman" w:hAnsi="Calibri" w:cs="Calibri"/>
          <w:i/>
          <w:sz w:val="24"/>
          <w:szCs w:val="24"/>
        </w:rPr>
        <w:t>Contract performance bond premiums</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7) Tender Compliance</w:t>
      </w:r>
    </w:p>
    <w:p w:rsidR="00A7761D" w:rsidRPr="00977ABA" w:rsidRDefault="00A7761D" w:rsidP="00A7761D">
      <w:pPr>
        <w:adjustRightInd/>
        <w:spacing w:line="240" w:lineRule="auto"/>
        <w:rPr>
          <w:rFonts w:ascii="Calibri" w:eastAsia="Times New Roman" w:hAnsi="Calibri" w:cs="Calibri"/>
          <w:sz w:val="24"/>
          <w:szCs w:val="24"/>
        </w:rPr>
      </w:pPr>
      <w:r w:rsidRPr="00977ABA">
        <w:rPr>
          <w:rFonts w:ascii="Calibri" w:eastAsia="Times New Roman" w:hAnsi="Calibri" w:cs="Calibri"/>
          <w:sz w:val="24"/>
          <w:szCs w:val="24"/>
        </w:rPr>
        <w:t>To include commentary on:</w:t>
      </w:r>
    </w:p>
    <w:p w:rsidR="00A7761D" w:rsidRPr="00977ABA" w:rsidRDefault="00A7761D" w:rsidP="00A7761D">
      <w:pPr>
        <w:numPr>
          <w:ilvl w:val="0"/>
          <w:numId w:val="13"/>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Contractors Proposals (detail of compliance with Employer’s Requirements)</w:t>
      </w:r>
    </w:p>
    <w:p w:rsidR="00A7761D" w:rsidRPr="00977ABA" w:rsidRDefault="00A7761D" w:rsidP="00A7761D">
      <w:pPr>
        <w:numPr>
          <w:ilvl w:val="0"/>
          <w:numId w:val="19"/>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lastRenderedPageBreak/>
        <w:t>Confirmation via architect/contractor the scheme complies with all client design standards a</w:t>
      </w:r>
    </w:p>
    <w:p w:rsidR="00A7761D" w:rsidRPr="00977ABA" w:rsidRDefault="00A7761D" w:rsidP="00A7761D">
      <w:pPr>
        <w:numPr>
          <w:ilvl w:val="0"/>
          <w:numId w:val="19"/>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 xml:space="preserve">Homes England Capital Costs Business Rules Compliance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2410"/>
      </w:tblGrid>
      <w:tr w:rsidR="00A7761D" w:rsidRPr="00977ABA" w:rsidTr="00701671">
        <w:tc>
          <w:tcPr>
            <w:tcW w:w="5342" w:type="dxa"/>
            <w:shd w:val="clear" w:color="auto" w:fill="auto"/>
          </w:tcPr>
          <w:p w:rsidR="00A7761D" w:rsidRPr="001D1111" w:rsidRDefault="00A7761D" w:rsidP="00701671">
            <w:pPr>
              <w:adjustRightInd/>
              <w:spacing w:after="200"/>
              <w:contextualSpacing/>
              <w:rPr>
                <w:rFonts w:ascii="Calibri" w:eastAsia="Times New Roman" w:hAnsi="Calibri" w:cs="Calibri"/>
                <w:b/>
                <w:sz w:val="24"/>
                <w:szCs w:val="24"/>
              </w:rPr>
            </w:pPr>
            <w:r w:rsidRPr="001D1111">
              <w:rPr>
                <w:rFonts w:ascii="Calibri" w:eastAsia="Times New Roman" w:hAnsi="Calibri" w:cs="Calibri"/>
                <w:b/>
                <w:sz w:val="24"/>
                <w:szCs w:val="24"/>
              </w:rPr>
              <w:t>HE Business Rule</w:t>
            </w:r>
          </w:p>
        </w:tc>
        <w:tc>
          <w:tcPr>
            <w:tcW w:w="2410" w:type="dxa"/>
            <w:shd w:val="clear" w:color="auto" w:fill="auto"/>
          </w:tcPr>
          <w:p w:rsidR="00A7761D" w:rsidRPr="001D1111" w:rsidRDefault="00A7761D" w:rsidP="00701671">
            <w:pPr>
              <w:adjustRightInd/>
              <w:spacing w:after="200"/>
              <w:contextualSpacing/>
              <w:rPr>
                <w:rFonts w:ascii="Calibri" w:eastAsia="Times New Roman" w:hAnsi="Calibri" w:cs="Calibri"/>
                <w:b/>
                <w:sz w:val="24"/>
                <w:szCs w:val="24"/>
              </w:rPr>
            </w:pPr>
            <w:r w:rsidRPr="001D1111">
              <w:rPr>
                <w:rFonts w:ascii="Calibri" w:eastAsia="Times New Roman" w:hAnsi="Calibri" w:cs="Calibri"/>
                <w:b/>
                <w:sz w:val="24"/>
                <w:szCs w:val="24"/>
              </w:rPr>
              <w:t>Actual % &amp; comments on variation</w:t>
            </w:r>
          </w:p>
        </w:tc>
      </w:tr>
      <w:tr w:rsidR="00A7761D" w:rsidRPr="00977ABA" w:rsidTr="00701671">
        <w:tc>
          <w:tcPr>
            <w:tcW w:w="5342" w:type="dxa"/>
            <w:shd w:val="clear" w:color="auto" w:fill="auto"/>
          </w:tcPr>
          <w:p w:rsidR="00A7761D" w:rsidRPr="001D1111" w:rsidRDefault="00A7761D" w:rsidP="00701671">
            <w:pPr>
              <w:adjustRightInd/>
              <w:spacing w:after="200"/>
              <w:contextualSpacing/>
              <w:rPr>
                <w:rFonts w:ascii="Calibri" w:eastAsia="Times New Roman" w:hAnsi="Calibri" w:cs="Calibri"/>
                <w:sz w:val="24"/>
                <w:szCs w:val="24"/>
              </w:rPr>
            </w:pPr>
            <w:r w:rsidRPr="001D1111">
              <w:rPr>
                <w:rFonts w:ascii="Calibri" w:eastAsia="Times New Roman" w:hAnsi="Calibri" w:cs="Calibri"/>
                <w:sz w:val="24"/>
                <w:szCs w:val="24"/>
              </w:rPr>
              <w:t>(2) Main works costs are expected to be at least 60% of the total works costs</w:t>
            </w:r>
          </w:p>
        </w:tc>
        <w:tc>
          <w:tcPr>
            <w:tcW w:w="2410" w:type="dxa"/>
            <w:shd w:val="clear" w:color="auto" w:fill="auto"/>
          </w:tcPr>
          <w:p w:rsidR="00A7761D" w:rsidRPr="001D1111" w:rsidRDefault="00A7761D" w:rsidP="00701671">
            <w:pPr>
              <w:adjustRightInd/>
              <w:spacing w:after="200"/>
              <w:contextualSpacing/>
              <w:rPr>
                <w:rFonts w:ascii="Calibri" w:eastAsia="Times New Roman" w:hAnsi="Calibri" w:cs="Calibri"/>
                <w:sz w:val="24"/>
                <w:szCs w:val="24"/>
              </w:rPr>
            </w:pPr>
          </w:p>
        </w:tc>
      </w:tr>
      <w:tr w:rsidR="00A7761D" w:rsidRPr="00977ABA" w:rsidTr="00701671">
        <w:tc>
          <w:tcPr>
            <w:tcW w:w="5342" w:type="dxa"/>
            <w:shd w:val="clear" w:color="auto" w:fill="auto"/>
          </w:tcPr>
          <w:p w:rsidR="00A7761D" w:rsidRPr="001D1111" w:rsidRDefault="00A7761D" w:rsidP="00701671">
            <w:pPr>
              <w:adjustRightInd/>
              <w:spacing w:after="200"/>
              <w:contextualSpacing/>
              <w:rPr>
                <w:rFonts w:ascii="Calibri" w:eastAsia="Times New Roman" w:hAnsi="Calibri" w:cs="Calibri"/>
                <w:sz w:val="24"/>
                <w:szCs w:val="24"/>
              </w:rPr>
            </w:pPr>
            <w:r w:rsidRPr="001D1111">
              <w:rPr>
                <w:rFonts w:ascii="Calibri" w:eastAsia="Times New Roman" w:hAnsi="Calibri" w:cs="Calibri"/>
                <w:sz w:val="24"/>
                <w:szCs w:val="24"/>
              </w:rPr>
              <w:t>(3) The combined costs for infrastructure, abnormals &amp; S.106 costs are not expected to be more than 30% of the total works costs</w:t>
            </w:r>
          </w:p>
        </w:tc>
        <w:tc>
          <w:tcPr>
            <w:tcW w:w="2410" w:type="dxa"/>
            <w:shd w:val="clear" w:color="auto" w:fill="auto"/>
          </w:tcPr>
          <w:p w:rsidR="00A7761D" w:rsidRPr="001D1111" w:rsidRDefault="00A7761D" w:rsidP="00701671">
            <w:pPr>
              <w:adjustRightInd/>
              <w:spacing w:after="200"/>
              <w:contextualSpacing/>
              <w:rPr>
                <w:rFonts w:ascii="Calibri" w:eastAsia="Times New Roman" w:hAnsi="Calibri" w:cs="Calibri"/>
                <w:sz w:val="24"/>
                <w:szCs w:val="24"/>
              </w:rPr>
            </w:pPr>
          </w:p>
        </w:tc>
      </w:tr>
      <w:tr w:rsidR="00A7761D" w:rsidRPr="00977ABA" w:rsidTr="00701671">
        <w:tc>
          <w:tcPr>
            <w:tcW w:w="5342" w:type="dxa"/>
            <w:shd w:val="clear" w:color="auto" w:fill="auto"/>
          </w:tcPr>
          <w:p w:rsidR="00A7761D" w:rsidRPr="001D1111" w:rsidRDefault="00A7761D" w:rsidP="00701671">
            <w:pPr>
              <w:adjustRightInd/>
              <w:spacing w:after="200"/>
              <w:contextualSpacing/>
              <w:rPr>
                <w:rFonts w:ascii="Calibri" w:eastAsia="Times New Roman" w:hAnsi="Calibri" w:cs="Calibri"/>
                <w:sz w:val="24"/>
                <w:szCs w:val="24"/>
              </w:rPr>
            </w:pPr>
            <w:r w:rsidRPr="001D1111">
              <w:rPr>
                <w:rFonts w:ascii="Calibri" w:eastAsia="Times New Roman" w:hAnsi="Calibri" w:cs="Calibri"/>
                <w:sz w:val="24"/>
                <w:szCs w:val="24"/>
              </w:rPr>
              <w:t xml:space="preserve">(4) Associated works costs are not expected to be greater than 20% of the total works cost </w:t>
            </w:r>
          </w:p>
        </w:tc>
        <w:tc>
          <w:tcPr>
            <w:tcW w:w="2410" w:type="dxa"/>
            <w:shd w:val="clear" w:color="auto" w:fill="auto"/>
          </w:tcPr>
          <w:p w:rsidR="00A7761D" w:rsidRPr="001D1111" w:rsidRDefault="00A7761D" w:rsidP="00701671">
            <w:pPr>
              <w:adjustRightInd/>
              <w:spacing w:after="200"/>
              <w:contextualSpacing/>
              <w:rPr>
                <w:rFonts w:ascii="Calibri" w:eastAsia="Times New Roman" w:hAnsi="Calibri" w:cs="Calibri"/>
                <w:sz w:val="24"/>
                <w:szCs w:val="24"/>
              </w:rPr>
            </w:pPr>
          </w:p>
        </w:tc>
      </w:tr>
    </w:tbl>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numPr>
          <w:ilvl w:val="0"/>
          <w:numId w:val="19"/>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Comments on any areas of non-compliance</w:t>
      </w:r>
    </w:p>
    <w:p w:rsidR="00A7761D" w:rsidRPr="00977ABA" w:rsidRDefault="00A7761D" w:rsidP="00A7761D">
      <w:pPr>
        <w:numPr>
          <w:ilvl w:val="0"/>
          <w:numId w:val="19"/>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Contractor’s Proposals Checklist</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8) Summary and Recommendations</w:t>
      </w:r>
    </w:p>
    <w:p w:rsidR="00A7761D" w:rsidRPr="00977ABA" w:rsidRDefault="00A7761D" w:rsidP="00A7761D">
      <w:pPr>
        <w:adjustRightInd/>
        <w:spacing w:line="240" w:lineRule="auto"/>
        <w:rPr>
          <w:rFonts w:ascii="Calibri" w:eastAsia="Times New Roman" w:hAnsi="Calibri" w:cs="Calibri"/>
          <w:sz w:val="24"/>
          <w:szCs w:val="24"/>
        </w:rPr>
      </w:pPr>
      <w:r w:rsidRPr="00977ABA">
        <w:rPr>
          <w:rFonts w:ascii="Calibri" w:eastAsia="Times New Roman" w:hAnsi="Calibri" w:cs="Calibri"/>
          <w:sz w:val="24"/>
          <w:szCs w:val="24"/>
        </w:rPr>
        <w:t>To include:</w:t>
      </w:r>
    </w:p>
    <w:p w:rsidR="00A7761D" w:rsidRPr="00977ABA" w:rsidRDefault="00A7761D" w:rsidP="00A7761D">
      <w:pPr>
        <w:numPr>
          <w:ilvl w:val="0"/>
          <w:numId w:val="14"/>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Recommendations for acceptance based on the agreed contract sum representing good value for money</w:t>
      </w:r>
    </w:p>
    <w:p w:rsidR="00A7761D" w:rsidRPr="00977ABA" w:rsidRDefault="00A7761D" w:rsidP="00A7761D">
      <w:pPr>
        <w:numPr>
          <w:ilvl w:val="0"/>
          <w:numId w:val="14"/>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Accepted Contract Sum</w:t>
      </w:r>
    </w:p>
    <w:p w:rsidR="00A7761D" w:rsidRPr="00977ABA" w:rsidRDefault="00A7761D" w:rsidP="00A7761D">
      <w:pPr>
        <w:numPr>
          <w:ilvl w:val="0"/>
          <w:numId w:val="14"/>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 xml:space="preserve">Identified client risks </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sz w:val="24"/>
          <w:szCs w:val="24"/>
        </w:rPr>
      </w:pPr>
      <w:r w:rsidRPr="00977ABA">
        <w:rPr>
          <w:rFonts w:ascii="Calibri" w:eastAsia="Times New Roman" w:hAnsi="Calibri" w:cs="Calibri"/>
          <w:b/>
          <w:sz w:val="24"/>
          <w:szCs w:val="24"/>
        </w:rPr>
        <w:t>Documents to be attached to report as appendices:</w:t>
      </w:r>
    </w:p>
    <w:p w:rsidR="00A7761D" w:rsidRPr="00977ABA" w:rsidRDefault="00A7761D" w:rsidP="00A7761D">
      <w:pPr>
        <w:numPr>
          <w:ilvl w:val="0"/>
          <w:numId w:val="17"/>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Contract Sum Analysis</w:t>
      </w:r>
    </w:p>
    <w:p w:rsidR="00A7761D" w:rsidRPr="00977ABA" w:rsidRDefault="00A7761D" w:rsidP="00A7761D">
      <w:pPr>
        <w:numPr>
          <w:ilvl w:val="0"/>
          <w:numId w:val="17"/>
        </w:numPr>
        <w:adjustRightInd/>
        <w:spacing w:after="200" w:line="240" w:lineRule="auto"/>
        <w:contextualSpacing/>
        <w:rPr>
          <w:rFonts w:ascii="Calibri" w:eastAsia="Times New Roman" w:hAnsi="Calibri" w:cs="Calibri"/>
          <w:sz w:val="24"/>
          <w:szCs w:val="24"/>
        </w:rPr>
      </w:pPr>
      <w:r w:rsidRPr="00977ABA">
        <w:rPr>
          <w:rFonts w:ascii="Calibri" w:eastAsia="Times New Roman" w:hAnsi="Calibri" w:cs="Calibri"/>
          <w:sz w:val="24"/>
          <w:szCs w:val="24"/>
        </w:rPr>
        <w:t>Contractor’s Proposals Checklist</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b/>
          <w:i/>
          <w:sz w:val="24"/>
          <w:szCs w:val="24"/>
        </w:rPr>
      </w:pPr>
      <w:r w:rsidRPr="00977ABA">
        <w:rPr>
          <w:rFonts w:ascii="Calibri" w:eastAsia="Times New Roman" w:hAnsi="Calibri" w:cs="Calibri"/>
          <w:b/>
          <w:i/>
          <w:sz w:val="24"/>
          <w:szCs w:val="24"/>
        </w:rPr>
        <w:t>Report to be Signed and Dated by Consultant</w:t>
      </w:r>
    </w:p>
    <w:p w:rsidR="00A7761D" w:rsidRPr="00977ABA" w:rsidRDefault="00A7761D" w:rsidP="00A7761D">
      <w:pPr>
        <w:adjustRightInd/>
        <w:spacing w:line="240" w:lineRule="auto"/>
        <w:rPr>
          <w:rFonts w:ascii="Calibri" w:eastAsia="Times New Roman" w:hAnsi="Calibri" w:cs="Calibri"/>
          <w:sz w:val="24"/>
          <w:szCs w:val="24"/>
        </w:rPr>
      </w:pPr>
    </w:p>
    <w:p w:rsidR="00A7761D" w:rsidRPr="00977ABA" w:rsidRDefault="00A7761D" w:rsidP="00A7761D">
      <w:pPr>
        <w:adjustRightInd/>
        <w:spacing w:line="240" w:lineRule="auto"/>
        <w:rPr>
          <w:rFonts w:ascii="Calibri" w:eastAsia="Times New Roman" w:hAnsi="Calibri" w:cs="Calibri"/>
          <w:i/>
          <w:sz w:val="24"/>
          <w:szCs w:val="24"/>
        </w:rPr>
      </w:pPr>
      <w:r w:rsidRPr="00977ABA">
        <w:rPr>
          <w:rFonts w:ascii="Calibri" w:eastAsia="Times New Roman" w:hAnsi="Calibri" w:cs="Calibri"/>
          <w:i/>
          <w:sz w:val="24"/>
          <w:szCs w:val="24"/>
        </w:rPr>
        <w:t>NB:</w:t>
      </w:r>
    </w:p>
    <w:p w:rsidR="00A7761D" w:rsidRPr="00977ABA" w:rsidRDefault="00A7761D" w:rsidP="00A7761D">
      <w:pPr>
        <w:adjustRightInd/>
        <w:spacing w:line="240" w:lineRule="auto"/>
        <w:rPr>
          <w:rFonts w:ascii="Calibri" w:eastAsia="Times New Roman" w:hAnsi="Calibri" w:cs="Calibri"/>
          <w:i/>
          <w:sz w:val="24"/>
          <w:szCs w:val="24"/>
        </w:rPr>
      </w:pPr>
      <w:r w:rsidRPr="00977ABA">
        <w:rPr>
          <w:rFonts w:ascii="Calibri" w:eastAsia="Times New Roman" w:hAnsi="Calibri" w:cs="Calibri"/>
          <w:i/>
          <w:sz w:val="24"/>
          <w:szCs w:val="24"/>
        </w:rPr>
        <w:t xml:space="preserve">The above template is for guidance only and represents the minimum information required in a consultants’ Tender Report / Value for Money Report (on negotiated acquisition). It is not intended to be exhaustive and will be dependent on the complexity of individual projects and information requirements required by the Client. </w:t>
      </w:r>
    </w:p>
    <w:p w:rsidR="00A7761D" w:rsidRPr="00977ABA" w:rsidRDefault="00A7761D" w:rsidP="00A7761D">
      <w:pPr>
        <w:adjustRightInd/>
        <w:spacing w:line="240" w:lineRule="auto"/>
        <w:rPr>
          <w:rFonts w:ascii="Calibri" w:eastAsia="Times New Roman" w:hAnsi="Calibri" w:cs="Calibri"/>
          <w:i/>
          <w:sz w:val="24"/>
          <w:szCs w:val="24"/>
        </w:rPr>
      </w:pPr>
    </w:p>
    <w:p w:rsidR="00A7761D" w:rsidRDefault="00A7761D" w:rsidP="00A7761D">
      <w:pPr>
        <w:adjustRightInd/>
        <w:spacing w:after="200"/>
        <w:rPr>
          <w:rFonts w:ascii="Calibri" w:eastAsia="Calibri" w:hAnsi="Calibri" w:cs="Calibri"/>
          <w:sz w:val="24"/>
          <w:szCs w:val="24"/>
          <w:lang w:eastAsia="en-US"/>
        </w:rPr>
      </w:pPr>
    </w:p>
    <w:p w:rsidR="00A7761D" w:rsidRDefault="00A7761D" w:rsidP="00A7761D">
      <w:pPr>
        <w:adjustRightInd/>
        <w:spacing w:after="200"/>
        <w:rPr>
          <w:rFonts w:ascii="Calibri" w:eastAsia="Calibri" w:hAnsi="Calibri" w:cs="Calibri"/>
          <w:sz w:val="24"/>
          <w:szCs w:val="24"/>
          <w:lang w:eastAsia="en-US"/>
        </w:rPr>
      </w:pPr>
    </w:p>
    <w:p w:rsidR="00A7761D" w:rsidRDefault="00A7761D" w:rsidP="00A7761D">
      <w:pPr>
        <w:adjustRightInd/>
        <w:spacing w:after="200"/>
        <w:rPr>
          <w:rFonts w:ascii="Calibri" w:eastAsia="Calibri" w:hAnsi="Calibri" w:cs="Calibri"/>
          <w:sz w:val="24"/>
          <w:szCs w:val="24"/>
          <w:lang w:eastAsia="en-US"/>
        </w:rPr>
      </w:pPr>
    </w:p>
    <w:p w:rsidR="00A7761D" w:rsidRPr="00977ABA" w:rsidRDefault="00A7761D" w:rsidP="00A7761D">
      <w:pPr>
        <w:adjustRightInd/>
        <w:spacing w:after="200"/>
        <w:rPr>
          <w:rFonts w:ascii="Calibri" w:eastAsia="Calibri" w:hAnsi="Calibri" w:cs="Calibri"/>
          <w:sz w:val="24"/>
          <w:szCs w:val="24"/>
          <w:lang w:eastAsia="en-US"/>
        </w:rPr>
      </w:pPr>
    </w:p>
    <w:p w:rsidR="00A7761D" w:rsidRPr="001D1111" w:rsidRDefault="00A7761D" w:rsidP="00A7761D">
      <w:pPr>
        <w:adjustRightInd/>
        <w:spacing w:after="200"/>
        <w:jc w:val="center"/>
        <w:rPr>
          <w:rFonts w:ascii="Calibri" w:eastAsia="Calibri" w:hAnsi="Calibri" w:cs="Calibri"/>
          <w:b/>
          <w:sz w:val="24"/>
          <w:szCs w:val="24"/>
          <w:lang w:eastAsia="en-US"/>
        </w:rPr>
      </w:pPr>
      <w:r>
        <w:rPr>
          <w:rFonts w:ascii="Calibri" w:eastAsia="Calibri" w:hAnsi="Calibri" w:cs="Calibri"/>
          <w:b/>
          <w:noProof/>
          <w:sz w:val="24"/>
          <w:szCs w:val="24"/>
        </w:rPr>
        <w:lastRenderedPageBreak/>
        <w:drawing>
          <wp:inline distT="0" distB="0" distL="0" distR="0">
            <wp:extent cx="1443355" cy="144335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3355" cy="1443355"/>
                    </a:xfrm>
                    <a:prstGeom prst="rect">
                      <a:avLst/>
                    </a:prstGeom>
                    <a:noFill/>
                    <a:ln>
                      <a:noFill/>
                    </a:ln>
                  </pic:spPr>
                </pic:pic>
              </a:graphicData>
            </a:graphic>
          </wp:inline>
        </w:drawing>
      </w:r>
    </w:p>
    <w:p w:rsidR="00A7761D" w:rsidRPr="001D1111" w:rsidRDefault="00A7761D" w:rsidP="00A7761D">
      <w:pPr>
        <w:adjustRightInd/>
        <w:spacing w:after="200"/>
        <w:jc w:val="center"/>
        <w:rPr>
          <w:rFonts w:ascii="Calibri" w:eastAsia="Calibri" w:hAnsi="Calibri" w:cs="Calibri"/>
          <w:b/>
          <w:sz w:val="24"/>
          <w:szCs w:val="24"/>
          <w:lang w:eastAsia="en-US"/>
        </w:rPr>
      </w:pPr>
      <w:r w:rsidRPr="001D1111">
        <w:rPr>
          <w:rFonts w:ascii="Calibri" w:eastAsia="Calibri" w:hAnsi="Calibri" w:cs="Calibri"/>
          <w:b/>
          <w:sz w:val="24"/>
          <w:szCs w:val="24"/>
          <w:lang w:eastAsia="en-US"/>
        </w:rPr>
        <w:t xml:space="preserve">Appendix </w:t>
      </w:r>
      <w:r>
        <w:rPr>
          <w:rFonts w:ascii="Calibri" w:eastAsia="Calibri" w:hAnsi="Calibri" w:cs="Calibri"/>
          <w:b/>
          <w:sz w:val="24"/>
          <w:szCs w:val="24"/>
          <w:lang w:eastAsia="en-US"/>
        </w:rPr>
        <w:t>2</w:t>
      </w:r>
    </w:p>
    <w:p w:rsidR="00A7761D" w:rsidRPr="001D1111" w:rsidRDefault="00A7761D" w:rsidP="00A7761D">
      <w:pPr>
        <w:adjustRightInd/>
        <w:spacing w:after="100" w:afterAutospacing="1" w:line="240" w:lineRule="auto"/>
        <w:jc w:val="center"/>
        <w:rPr>
          <w:rFonts w:ascii="Calibri" w:eastAsia="Calibri" w:hAnsi="Calibri" w:cs="Calibri"/>
          <w:b/>
          <w:sz w:val="24"/>
          <w:szCs w:val="24"/>
          <w:lang w:eastAsia="en-US"/>
        </w:rPr>
      </w:pPr>
      <w:r w:rsidRPr="001D1111">
        <w:rPr>
          <w:rFonts w:ascii="Calibri" w:eastAsia="Calibri" w:hAnsi="Calibri" w:cs="Calibri"/>
          <w:b/>
          <w:sz w:val="24"/>
          <w:szCs w:val="24"/>
          <w:lang w:eastAsia="en-US"/>
        </w:rPr>
        <w:t>Extension of Time Claim Report – Standard Template</w:t>
      </w: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Scheme Name</w:t>
      </w:r>
    </w:p>
    <w:p w:rsidR="00A7761D" w:rsidRPr="001D1111" w:rsidRDefault="00A7761D" w:rsidP="00A7761D">
      <w:pPr>
        <w:adjustRightInd/>
        <w:spacing w:after="100" w:afterAutospacing="1" w:line="240" w:lineRule="auto"/>
        <w:ind w:left="567"/>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Project Team</w:t>
      </w:r>
    </w:p>
    <w:p w:rsidR="00A7761D" w:rsidRPr="001D1111" w:rsidRDefault="00A7761D" w:rsidP="00A7761D">
      <w:pPr>
        <w:adjustRightInd/>
        <w:spacing w:after="100" w:afterAutospacing="1" w:line="240" w:lineRule="auto"/>
        <w:ind w:left="1134"/>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Scheme Background</w:t>
      </w:r>
    </w:p>
    <w:p w:rsidR="00A7761D" w:rsidRPr="001D1111" w:rsidRDefault="00A7761D" w:rsidP="00A7761D">
      <w:pPr>
        <w:adjustRightInd/>
        <w:spacing w:after="100" w:afterAutospacing="1" w:line="240" w:lineRule="auto"/>
        <w:ind w:left="567"/>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Contract Data</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Contract Commencement Date</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Contract Completion Date</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Contract Period</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Contract Liquidated and Ascertained Damages</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Sectional Completion</w:t>
      </w:r>
    </w:p>
    <w:p w:rsidR="00A7761D" w:rsidRPr="001D1111" w:rsidRDefault="00A7761D" w:rsidP="00A7761D">
      <w:pPr>
        <w:adjustRightInd/>
        <w:spacing w:after="100" w:afterAutospacing="1" w:line="240" w:lineRule="auto"/>
        <w:ind w:left="1134"/>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Extension of Time Claim</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Date Notified of Delay</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Extension of Time Requested (weeks)</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Forecast revised completion date</w:t>
      </w:r>
    </w:p>
    <w:p w:rsidR="00A7761D" w:rsidRPr="001D1111" w:rsidRDefault="00A7761D" w:rsidP="00A7761D">
      <w:pPr>
        <w:adjustRightInd/>
        <w:spacing w:after="100" w:afterAutospacing="1" w:line="240" w:lineRule="auto"/>
        <w:ind w:left="1134"/>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Contractual Position (Relevant Events, Contract Clause 2.26)</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2.26.1 - </w:t>
      </w:r>
      <w:r w:rsidRPr="001D1111">
        <w:rPr>
          <w:rFonts w:ascii="Calibri" w:eastAsia="Calibri" w:hAnsi="Calibri" w:cs="Calibri"/>
          <w:i/>
          <w:sz w:val="24"/>
          <w:szCs w:val="24"/>
          <w:lang w:eastAsia="en-US"/>
        </w:rPr>
        <w:tab/>
        <w:t>Changes to the works</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2.26.2 - </w:t>
      </w:r>
      <w:r w:rsidRPr="001D1111">
        <w:rPr>
          <w:rFonts w:ascii="Calibri" w:eastAsia="Calibri" w:hAnsi="Calibri" w:cs="Calibri"/>
          <w:i/>
          <w:sz w:val="24"/>
          <w:szCs w:val="24"/>
          <w:lang w:eastAsia="en-US"/>
        </w:rPr>
        <w:tab/>
        <w:t>Employer’s instructions</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2.26.3 - </w:t>
      </w:r>
      <w:r w:rsidRPr="001D1111">
        <w:rPr>
          <w:rFonts w:ascii="Calibri" w:eastAsia="Calibri" w:hAnsi="Calibri" w:cs="Calibri"/>
          <w:i/>
          <w:sz w:val="24"/>
          <w:szCs w:val="24"/>
          <w:lang w:eastAsia="en-US"/>
        </w:rPr>
        <w:tab/>
        <w:t>Deferment of possession</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2.26.4 - </w:t>
      </w:r>
      <w:r w:rsidRPr="001D1111">
        <w:rPr>
          <w:rFonts w:ascii="Calibri" w:eastAsia="Calibri" w:hAnsi="Calibri" w:cs="Calibri"/>
          <w:i/>
          <w:sz w:val="24"/>
          <w:szCs w:val="24"/>
          <w:lang w:eastAsia="en-US"/>
        </w:rPr>
        <w:tab/>
        <w:t>Antiquities</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2.26.5 - </w:t>
      </w:r>
      <w:r w:rsidRPr="001D1111">
        <w:rPr>
          <w:rFonts w:ascii="Calibri" w:eastAsia="Calibri" w:hAnsi="Calibri" w:cs="Calibri"/>
          <w:i/>
          <w:sz w:val="24"/>
          <w:szCs w:val="24"/>
          <w:lang w:eastAsia="en-US"/>
        </w:rPr>
        <w:tab/>
        <w:t>Suspension by the Contractor</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2.26.6 - </w:t>
      </w:r>
      <w:r w:rsidRPr="001D1111">
        <w:rPr>
          <w:rFonts w:ascii="Calibri" w:eastAsia="Calibri" w:hAnsi="Calibri" w:cs="Calibri"/>
          <w:i/>
          <w:sz w:val="24"/>
          <w:szCs w:val="24"/>
          <w:lang w:eastAsia="en-US"/>
        </w:rPr>
        <w:tab/>
        <w:t>Default by Employer</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2.26.7 - </w:t>
      </w:r>
      <w:r w:rsidRPr="001D1111">
        <w:rPr>
          <w:rFonts w:ascii="Calibri" w:eastAsia="Calibri" w:hAnsi="Calibri" w:cs="Calibri"/>
          <w:i/>
          <w:sz w:val="24"/>
          <w:szCs w:val="24"/>
          <w:lang w:eastAsia="en-US"/>
        </w:rPr>
        <w:tab/>
        <w:t>Statutory Undertaker’s non-performance</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2.26.8 - </w:t>
      </w:r>
      <w:r w:rsidRPr="001D1111">
        <w:rPr>
          <w:rFonts w:ascii="Calibri" w:eastAsia="Calibri" w:hAnsi="Calibri" w:cs="Calibri"/>
          <w:i/>
          <w:sz w:val="24"/>
          <w:szCs w:val="24"/>
          <w:lang w:eastAsia="en-US"/>
        </w:rPr>
        <w:tab/>
        <w:t>Exceptionally adverse weather</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2.26.9 - </w:t>
      </w:r>
      <w:r w:rsidRPr="001D1111">
        <w:rPr>
          <w:rFonts w:ascii="Calibri" w:eastAsia="Calibri" w:hAnsi="Calibri" w:cs="Calibri"/>
          <w:i/>
          <w:sz w:val="24"/>
          <w:szCs w:val="24"/>
          <w:lang w:eastAsia="en-US"/>
        </w:rPr>
        <w:tab/>
        <w:t>Specified Perils</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2.26.10 - </w:t>
      </w:r>
      <w:r w:rsidRPr="001D1111">
        <w:rPr>
          <w:rFonts w:ascii="Calibri" w:eastAsia="Calibri" w:hAnsi="Calibri" w:cs="Calibri"/>
          <w:i/>
          <w:sz w:val="24"/>
          <w:szCs w:val="24"/>
          <w:lang w:eastAsia="en-US"/>
        </w:rPr>
        <w:tab/>
        <w:t>Terrorism</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2.26.11 - </w:t>
      </w:r>
      <w:r w:rsidRPr="001D1111">
        <w:rPr>
          <w:rFonts w:ascii="Calibri" w:eastAsia="Calibri" w:hAnsi="Calibri" w:cs="Calibri"/>
          <w:i/>
          <w:sz w:val="24"/>
          <w:szCs w:val="24"/>
          <w:lang w:eastAsia="en-US"/>
        </w:rPr>
        <w:tab/>
        <w:t>Strikes</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2.26.12 - </w:t>
      </w:r>
      <w:r w:rsidRPr="001D1111">
        <w:rPr>
          <w:rFonts w:ascii="Calibri" w:eastAsia="Calibri" w:hAnsi="Calibri" w:cs="Calibri"/>
          <w:i/>
          <w:sz w:val="24"/>
          <w:szCs w:val="24"/>
          <w:lang w:eastAsia="en-US"/>
        </w:rPr>
        <w:tab/>
        <w:t>Statutory powers after the Base Date</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2.26.13 - </w:t>
      </w:r>
      <w:r w:rsidRPr="001D1111">
        <w:rPr>
          <w:rFonts w:ascii="Calibri" w:eastAsia="Calibri" w:hAnsi="Calibri" w:cs="Calibri"/>
          <w:i/>
          <w:sz w:val="24"/>
          <w:szCs w:val="24"/>
          <w:lang w:eastAsia="en-US"/>
        </w:rPr>
        <w:tab/>
        <w:t>Delay in receipt of permission or approval of statutory body</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2.26.14 - </w:t>
      </w:r>
      <w:r w:rsidRPr="001D1111">
        <w:rPr>
          <w:rFonts w:ascii="Calibri" w:eastAsia="Calibri" w:hAnsi="Calibri" w:cs="Calibri"/>
          <w:i/>
          <w:sz w:val="24"/>
          <w:szCs w:val="24"/>
          <w:lang w:eastAsia="en-US"/>
        </w:rPr>
        <w:tab/>
        <w:t xml:space="preserve">Force majeure   </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r w:rsidRPr="001D1111">
        <w:rPr>
          <w:rFonts w:ascii="Calibri" w:eastAsia="Calibri" w:hAnsi="Calibri" w:cs="Calibri"/>
          <w:i/>
          <w:sz w:val="24"/>
          <w:szCs w:val="24"/>
          <w:lang w:eastAsia="en-US"/>
        </w:rPr>
        <w:t xml:space="preserve">      </w:t>
      </w:r>
    </w:p>
    <w:p w:rsidR="00A7761D" w:rsidRPr="001D1111" w:rsidRDefault="00A7761D" w:rsidP="00A7761D">
      <w:pPr>
        <w:adjustRightInd/>
        <w:spacing w:after="100" w:afterAutospacing="1" w:line="240" w:lineRule="auto"/>
        <w:ind w:left="1134"/>
        <w:contextualSpacing/>
        <w:rPr>
          <w:rFonts w:ascii="Calibri" w:eastAsia="Calibri" w:hAnsi="Calibri" w:cs="Calibri"/>
          <w: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lastRenderedPageBreak/>
        <w:t>Substantiation of Extension of T</w:t>
      </w:r>
      <w:r w:rsidRPr="001D1111">
        <w:rPr>
          <w:rFonts w:ascii="Calibri" w:eastAsia="Calibri" w:hAnsi="Calibri" w:cs="Calibri"/>
          <w:sz w:val="24"/>
          <w:szCs w:val="24"/>
          <w:lang w:eastAsia="en-US"/>
        </w:rPr>
        <w:t>i</w:t>
      </w:r>
      <w:r w:rsidRPr="001D1111">
        <w:rPr>
          <w:rFonts w:ascii="Calibri" w:eastAsia="Calibri" w:hAnsi="Calibri" w:cs="Calibri"/>
          <w:b/>
          <w:sz w:val="24"/>
          <w:szCs w:val="24"/>
          <w:lang w:eastAsia="en-US"/>
        </w:rPr>
        <w:t>me Claim</w:t>
      </w:r>
    </w:p>
    <w:p w:rsidR="00A7761D" w:rsidRPr="001D1111" w:rsidRDefault="00A7761D" w:rsidP="00A7761D">
      <w:pPr>
        <w:adjustRightInd/>
        <w:spacing w:after="100" w:afterAutospacing="1" w:line="240" w:lineRule="auto"/>
        <w:ind w:left="567"/>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Other Causes of Delay (Non Relevant Events) i.e.</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Discharge of Planning Conditions</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Shortage of Labour Resources / Building Materials</w:t>
      </w:r>
    </w:p>
    <w:p w:rsidR="00A7761D" w:rsidRPr="001D1111" w:rsidRDefault="00A7761D" w:rsidP="00A7761D">
      <w:pPr>
        <w:adjustRightInd/>
        <w:spacing w:after="100" w:afterAutospacing="1" w:line="240" w:lineRule="auto"/>
        <w:ind w:left="1134"/>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Effect of Delays / Mitigation</w:t>
      </w:r>
    </w:p>
    <w:p w:rsidR="00A7761D" w:rsidRPr="001D1111" w:rsidRDefault="00A7761D" w:rsidP="00A7761D">
      <w:pPr>
        <w:adjustRightInd/>
        <w:spacing w:after="100" w:afterAutospacing="1" w:line="240" w:lineRule="auto"/>
        <w:ind w:left="567"/>
        <w:contextualSpacing/>
        <w:rPr>
          <w:rFonts w:ascii="Calibri" w:eastAsia="Calibri" w:hAnsi="Calibri" w:cs="Calibri"/>
          <w:b/>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Loss and Expense Entitlement</w:t>
      </w:r>
    </w:p>
    <w:p w:rsidR="00A7761D" w:rsidRPr="001D1111" w:rsidRDefault="00A7761D" w:rsidP="00A7761D">
      <w:pPr>
        <w:numPr>
          <w:ilvl w:val="1"/>
          <w:numId w:val="10"/>
        </w:numPr>
        <w:adjustRightInd/>
        <w:spacing w:after="100" w:afterAutospacing="1" w:line="240" w:lineRule="auto"/>
        <w:ind w:left="1134" w:hanging="567"/>
        <w:contextualSpacing/>
        <w:rPr>
          <w:rFonts w:ascii="Calibri" w:eastAsia="Calibri" w:hAnsi="Calibri" w:cs="Calibri"/>
          <w:sz w:val="24"/>
          <w:szCs w:val="24"/>
          <w:lang w:eastAsia="en-US"/>
        </w:rPr>
      </w:pPr>
      <w:r w:rsidRPr="001D1111">
        <w:rPr>
          <w:rFonts w:ascii="Calibri" w:eastAsia="Calibri" w:hAnsi="Calibri" w:cs="Calibri"/>
          <w:sz w:val="24"/>
          <w:szCs w:val="24"/>
          <w:lang w:eastAsia="en-US"/>
        </w:rPr>
        <w:t>Relevant Matters, Clause 4.21</w:t>
      </w:r>
    </w:p>
    <w:p w:rsidR="00A7761D" w:rsidRPr="001D1111" w:rsidRDefault="00A7761D" w:rsidP="00A7761D">
      <w:pPr>
        <w:adjustRightInd/>
        <w:spacing w:after="100" w:afterAutospacing="1" w:line="240" w:lineRule="auto"/>
        <w:ind w:left="1134"/>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 xml:space="preserve">Extension of Time Recommendation </w:t>
      </w:r>
    </w:p>
    <w:p w:rsidR="00A7761D" w:rsidRPr="001D1111" w:rsidRDefault="00A7761D" w:rsidP="00A7761D">
      <w:pPr>
        <w:adjustRightInd/>
        <w:spacing w:after="100" w:afterAutospacing="1" w:line="240" w:lineRule="auto"/>
        <w:ind w:left="720"/>
        <w:contextualSpacing/>
        <w:rPr>
          <w:rFonts w:ascii="Calibri" w:eastAsia="Calibri" w:hAnsi="Calibri" w:cs="Calibri"/>
          <w:sz w:val="24"/>
          <w:szCs w:val="24"/>
          <w:lang w:eastAsia="en-US"/>
        </w:rPr>
      </w:pPr>
    </w:p>
    <w:p w:rsidR="00A7761D" w:rsidRPr="001D1111" w:rsidRDefault="00A7761D" w:rsidP="00A7761D">
      <w:pPr>
        <w:numPr>
          <w:ilvl w:val="0"/>
          <w:numId w:val="10"/>
        </w:numPr>
        <w:adjustRightInd/>
        <w:spacing w:after="100" w:afterAutospacing="1" w:line="240" w:lineRule="auto"/>
        <w:ind w:left="567" w:hanging="567"/>
        <w:contextualSpacing/>
        <w:rPr>
          <w:rFonts w:ascii="Calibri" w:eastAsia="Calibri" w:hAnsi="Calibri" w:cs="Calibri"/>
          <w:b/>
          <w:sz w:val="24"/>
          <w:szCs w:val="24"/>
          <w:lang w:eastAsia="en-US"/>
        </w:rPr>
      </w:pPr>
      <w:r w:rsidRPr="001D1111">
        <w:rPr>
          <w:rFonts w:ascii="Calibri" w:eastAsia="Calibri" w:hAnsi="Calibri" w:cs="Calibri"/>
          <w:b/>
          <w:sz w:val="24"/>
          <w:szCs w:val="24"/>
          <w:lang w:eastAsia="en-US"/>
        </w:rPr>
        <w:t>Liquidated and Ascertained Damages entitled to be Charged</w:t>
      </w: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2" w:name="_Toc43220408"/>
      <w:r w:rsidRPr="00656752">
        <w:instrText>Appendix C to the Allocation Letter: The Brief</w:instrText>
      </w:r>
      <w:bookmarkEnd w:id="12"/>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3" w:name="_Toc43220409"/>
      <w:r w:rsidRPr="00656752">
        <w:instrText>Appendix D to the Allocation Letter: The Programme</w:instrText>
      </w:r>
      <w:bookmarkEnd w:id="13"/>
      <w:r w:rsidRPr="00656752">
        <w:instrText xml:space="preserve">" \l1 </w:instrText>
      </w:r>
      <w:r w:rsidRPr="00656752">
        <w:rPr>
          <w:b/>
          <w:bCs/>
        </w:rPr>
        <w:fldChar w:fldCharType="end"/>
      </w:r>
      <w:r w:rsidRPr="00656752">
        <w:rPr>
          <w:b/>
          <w:bCs/>
        </w:rPr>
        <w:t>Appendix D to the Allocation Letter: The Programme</w:t>
      </w:r>
    </w:p>
    <w:p w:rsidR="003D4419" w:rsidRDefault="003D4419"/>
    <w:sectPr w:rsidR="003D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00223749"/>
    <w:multiLevelType w:val="hybridMultilevel"/>
    <w:tmpl w:val="EFC4CA42"/>
    <w:lvl w:ilvl="0" w:tplc="4EB02EE2">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nsid w:val="008C16F3"/>
    <w:multiLevelType w:val="hybridMultilevel"/>
    <w:tmpl w:val="3232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606C17"/>
    <w:multiLevelType w:val="hybridMultilevel"/>
    <w:tmpl w:val="D5EEA9C4"/>
    <w:lvl w:ilvl="0" w:tplc="543E4F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C9F663C"/>
    <w:multiLevelType w:val="hybridMultilevel"/>
    <w:tmpl w:val="C712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F0E94"/>
    <w:multiLevelType w:val="hybridMultilevel"/>
    <w:tmpl w:val="C7E6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F3205D"/>
    <w:multiLevelType w:val="hybridMultilevel"/>
    <w:tmpl w:val="A408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1D08DE"/>
    <w:multiLevelType w:val="hybridMultilevel"/>
    <w:tmpl w:val="2292B12C"/>
    <w:lvl w:ilvl="0" w:tplc="CDCA456C">
      <w:start w:val="5"/>
      <w:numFmt w:val="bullet"/>
      <w:lvlText w:val="-"/>
      <w:lvlJc w:val="left"/>
      <w:pPr>
        <w:ind w:left="1080" w:hanging="360"/>
      </w:pPr>
      <w:rPr>
        <w:rFonts w:ascii="Arial" w:eastAsia="Times New Roman"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670ED2"/>
    <w:multiLevelType w:val="multilevel"/>
    <w:tmpl w:val="6E9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A42658C"/>
    <w:multiLevelType w:val="hybridMultilevel"/>
    <w:tmpl w:val="FEB8A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E941CE"/>
    <w:multiLevelType w:val="hybridMultilevel"/>
    <w:tmpl w:val="5DCC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F12F33"/>
    <w:multiLevelType w:val="hybridMultilevel"/>
    <w:tmpl w:val="CE14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4472CE"/>
    <w:multiLevelType w:val="hybridMultilevel"/>
    <w:tmpl w:val="0D6A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334E03"/>
    <w:multiLevelType w:val="hybridMultilevel"/>
    <w:tmpl w:val="FC9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39250D"/>
    <w:multiLevelType w:val="hybridMultilevel"/>
    <w:tmpl w:val="14D0E0A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0F8079A"/>
    <w:multiLevelType w:val="hybridMultilevel"/>
    <w:tmpl w:val="25CA1B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10347D"/>
    <w:multiLevelType w:val="hybridMultilevel"/>
    <w:tmpl w:val="8CA2AF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ECF697E"/>
    <w:multiLevelType w:val="hybridMultilevel"/>
    <w:tmpl w:val="FE6898A8"/>
    <w:lvl w:ilvl="0" w:tplc="DF88E1CA">
      <w:start w:val="1"/>
      <w:numFmt w:val="upperLetter"/>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892B9E"/>
    <w:multiLevelType w:val="hybridMultilevel"/>
    <w:tmpl w:val="0090E3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42F3B19"/>
    <w:multiLevelType w:val="hybridMultilevel"/>
    <w:tmpl w:val="F3D0FA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5077EC9"/>
    <w:multiLevelType w:val="hybridMultilevel"/>
    <w:tmpl w:val="C7C201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F70667"/>
    <w:multiLevelType w:val="hybridMultilevel"/>
    <w:tmpl w:val="99BA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19"/>
  </w:num>
  <w:num w:numId="6">
    <w:abstractNumId w:val="12"/>
  </w:num>
  <w:num w:numId="7">
    <w:abstractNumId w:val="16"/>
  </w:num>
  <w:num w:numId="8">
    <w:abstractNumId w:val="17"/>
  </w:num>
  <w:num w:numId="9">
    <w:abstractNumId w:val="3"/>
  </w:num>
  <w:num w:numId="10">
    <w:abstractNumId w:val="15"/>
  </w:num>
  <w:num w:numId="11">
    <w:abstractNumId w:val="2"/>
  </w:num>
  <w:num w:numId="12">
    <w:abstractNumId w:val="20"/>
  </w:num>
  <w:num w:numId="13">
    <w:abstractNumId w:val="10"/>
  </w:num>
  <w:num w:numId="14">
    <w:abstractNumId w:val="6"/>
  </w:num>
  <w:num w:numId="15">
    <w:abstractNumId w:val="13"/>
  </w:num>
  <w:num w:numId="16">
    <w:abstractNumId w:val="9"/>
  </w:num>
  <w:num w:numId="17">
    <w:abstractNumId w:val="11"/>
  </w:num>
  <w:num w:numId="18">
    <w:abstractNumId w:val="21"/>
  </w:num>
  <w:num w:numId="19">
    <w:abstractNumId w:val="5"/>
  </w:num>
  <w:num w:numId="20">
    <w:abstractNumId w:val="7"/>
  </w:num>
  <w:num w:numId="21">
    <w:abstractNumId w:val="4"/>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8B"/>
    <w:rsid w:val="00012D36"/>
    <w:rsid w:val="00021911"/>
    <w:rsid w:val="00034455"/>
    <w:rsid w:val="001A3899"/>
    <w:rsid w:val="00320F8B"/>
    <w:rsid w:val="00353E91"/>
    <w:rsid w:val="003D4419"/>
    <w:rsid w:val="00431C29"/>
    <w:rsid w:val="004C742E"/>
    <w:rsid w:val="0067690D"/>
    <w:rsid w:val="006922C7"/>
    <w:rsid w:val="00800226"/>
    <w:rsid w:val="00A7761D"/>
    <w:rsid w:val="00A85BAF"/>
    <w:rsid w:val="00AE1689"/>
    <w:rsid w:val="00B46A9C"/>
    <w:rsid w:val="00DE24CE"/>
    <w:rsid w:val="00DE4B27"/>
    <w:rsid w:val="00E1341A"/>
    <w:rsid w:val="00EA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uiPriority w:val="99"/>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uiPriority w:val="99"/>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uiPriority w:val="99"/>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uiPriority w:val="99"/>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3D441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4419"/>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4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419"/>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4238</Words>
  <Characters>24158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3</cp:revision>
  <dcterms:created xsi:type="dcterms:W3CDTF">2020-11-05T14:35:00Z</dcterms:created>
  <dcterms:modified xsi:type="dcterms:W3CDTF">2020-11-05T16:02:00Z</dcterms:modified>
</cp:coreProperties>
</file>